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t xml:space="preserve"/>
      </w:r>
    </w:p>
    <w:p>
      <w:pPr>
        <w:spacing w:after="120" w:before="480"/>
        <w:jc w:val="center"/>
      </w:pPr>
      <w:r>
        <w:rPr>
          <w:rFonts w:ascii="Arial" w:cs="Arial" w:eastAsia="Arial" w:hAnsi="Arial"/>
          <w:b/>
          <w:bCs/>
          <w:color w:val="1F4E79"/>
          <w:sz w:val="56"/>
          <w:szCs w:val="56"/>
        </w:rPr>
        <w:t xml:space="preserve">Allied Health Academy</w:t>
      </w:r>
    </w:p>
    <w:p>
      <w:pPr>
        <w:spacing w:after="60" w:before="0"/>
        <w:jc w:val="center"/>
      </w:pPr>
      <w:r>
        <w:rPr>
          <w:rFonts w:ascii="Arial" w:cs="Arial" w:eastAsia="Arial" w:hAnsi="Arial"/>
          <w:color w:val="2E75B6"/>
          <w:sz w:val="22"/>
          <w:szCs w:val="22"/>
        </w:rPr>
        <w:t xml:space="preserve">alliedhealthtraining.org</w:t>
      </w:r>
    </w:p>
    <w:p>
      <w:pPr>
        <w:pBdr>
          <w:top w:val="single" w:color="2E75B6" w:sz="12" w:space="8"/>
          <w:bottom w:val="single" w:color="2E75B6" w:sz="12" w:space="8"/>
        </w:pBdr>
        <w:spacing w:after="60" w:before="60"/>
        <w:jc w:val="center"/>
      </w:pPr>
      <w:r>
        <w:rPr>
          <w:rFonts w:ascii="Arial" w:cs="Arial" w:eastAsia="Arial" w:hAnsi="Arial"/>
          <w:b/>
          <w:bCs/>
          <w:color w:val="2E75B6"/>
          <w:sz w:val="36"/>
          <w:szCs w:val="36"/>
        </w:rPr>
        <w:t xml:space="preserve">Pharmacy Technician Certification Program</w:t>
      </w:r>
    </w:p>
    <w:p>
      <w:pPr>
        <w:spacing w:after="0" w:before="120"/>
      </w:pPr>
      <w:r>
        <w:t xml:space="preserve"/>
      </w:r>
    </w:p>
    <w:p>
      <w:pPr>
        <w:spacing w:after="60" w:before="0"/>
        <w:jc w:val="center"/>
      </w:pPr>
      <w:r>
        <w:rPr>
          <w:rFonts w:ascii="Arial" w:cs="Arial" w:eastAsia="Arial" w:hAnsi="Arial"/>
          <w:b/>
          <w:bCs/>
          <w:color w:val="1F4E79"/>
          <w:sz w:val="44"/>
          <w:szCs w:val="44"/>
        </w:rPr>
        <w:t xml:space="preserve">Curriculum Syllabus</w:t>
      </w:r>
    </w:p>
    <w:p>
      <w:pPr>
        <w:spacing w:after="0" w:before="60"/>
      </w:pPr>
      <w:r>
        <w:t xml:space="preserve"/>
      </w:r>
    </w:p>
    <w:p>
      <w:pPr>
        <w:spacing w:after="60" w:before="0"/>
        <w:jc w:val="center"/>
      </w:pPr>
      <w:r>
        <w:rPr>
          <w:rFonts w:ascii="Arial" w:cs="Arial" w:eastAsia="Arial" w:hAnsi="Arial"/>
          <w:color w:val="444444"/>
          <w:sz w:val="22"/>
          <w:szCs w:val="22"/>
        </w:rPr>
        <w:t xml:space="preserve">PTCB-Recognized Program  |  2026 PTCE-Aligned</w:t>
      </w:r>
    </w:p>
    <w:p>
      <w:pPr>
        <w:spacing w:after="60" w:before="0"/>
        <w:jc w:val="center"/>
      </w:pPr>
      <w:r>
        <w:rPr>
          <w:rFonts w:ascii="Arial" w:cs="Arial" w:eastAsia="Arial" w:hAnsi="Arial"/>
          <w:color w:val="444444"/>
          <w:sz w:val="22"/>
          <w:szCs w:val="22"/>
        </w:rPr>
        <w:t xml:space="preserve">100% Online  |  Self-Paced  |  16 Weeks  |  189 Instructional Hours</w:t>
      </w:r>
    </w:p>
    <w:p>
      <w:pPr>
        <w:spacing w:after="0" w:before="240"/>
      </w:pPr>
      <w:r>
        <w:t xml:space="preserve"/>
      </w:r>
    </w:p>
    <w:p>
      <w:pPr>
        <w:spacing w:after="60" w:before="0"/>
        <w:jc w:val="center"/>
      </w:pPr>
      <w:r>
        <w:rPr>
          <w:rFonts w:ascii="Arial" w:cs="Arial" w:eastAsia="Arial" w:hAnsi="Arial"/>
          <w:b/>
          <w:bCs/>
          <w:color w:val="1F4E79"/>
          <w:sz w:val="24"/>
          <w:szCs w:val="24"/>
        </w:rPr>
        <w:t xml:space="preserve">Lead Educator: Tyler Dalton, PharmD</w:t>
      </w:r>
    </w:p>
    <w:p>
      <w:pPr>
        <w:spacing w:after="60" w:before="0"/>
        <w:jc w:val="center"/>
      </w:pPr>
      <w:r>
        <w:rPr>
          <w:rFonts w:ascii="Arial" w:cs="Arial" w:eastAsia="Arial" w:hAnsi="Arial"/>
          <w:color w:val="444444"/>
          <w:sz w:val="22"/>
          <w:szCs w:val="22"/>
        </w:rPr>
        <w:t xml:space="preserve">Active Community Pharmacist</w:t>
      </w:r>
    </w:p>
    <w:p>
      <w:pPr>
        <w:spacing w:after="0" w:before="120"/>
      </w:pPr>
      <w:r>
        <w:t xml:space="preserve"/>
      </w:r>
    </w:p>
    <w:p>
      <w:pPr>
        <w:spacing w:after="60" w:before="0"/>
        <w:jc w:val="center"/>
      </w:pPr>
      <w:r>
        <w:rPr>
          <w:rFonts w:ascii="Arial" w:cs="Arial" w:eastAsia="Arial" w:hAnsi="Arial"/>
          <w:color w:val="666666"/>
          <w:sz w:val="20"/>
          <w:szCs w:val="20"/>
        </w:rPr>
        <w:t xml:space="preserve">Revised March 2026</w:t>
      </w:r>
    </w:p>
    <w:p>
      <w:r>
        <w:br w:type="page"/>
      </w:r>
    </w:p>
    <w:p>
      <w:pPr>
        <w:pStyle w:val="Heading1"/>
        <w:pBdr>
          <w:bottom w:val="single" w:color="2E75B6" w:sz="6" w:space="4"/>
        </w:pBdr>
        <w:spacing w:after="120" w:before="360"/>
      </w:pPr>
      <w:r>
        <w:rPr>
          <w:rFonts w:ascii="Arial" w:cs="Arial" w:eastAsia="Arial" w:hAnsi="Arial"/>
          <w:b/>
          <w:bCs/>
          <w:color w:val="1F4E79"/>
          <w:sz w:val="28"/>
          <w:szCs w:val="28"/>
        </w:rPr>
        <w:t xml:space="preserve">Section 1: Program Overview</w:t>
      </w:r>
    </w:p>
    <w:p>
      <w:pPr>
        <w:spacing w:after="60" w:before="60"/>
      </w:pPr>
      <w:r>
        <w:rPr>
          <w:rFonts w:ascii="Arial" w:cs="Arial" w:eastAsia="Arial" w:hAnsi="Arial"/>
          <w:sz w:val="22"/>
          <w:szCs w:val="22"/>
        </w:rPr>
        <w:t xml:space="preserve">The Allied Health Academy Pharmacy Technician Certification Program is a comprehensive, 100% online, self-paced training program designed to prepare students for entry-level employment as a Certified Pharmacy Technician (CPhT) and for successful completion of the Pharmacy Technician Certification Exam (PTCE) administered by the Pharmacy Technician Certification Board (PTCB).</w:t>
      </w:r>
    </w:p>
    <w:p>
      <w:pPr>
        <w:spacing w:after="0" w:before="60"/>
      </w:pPr>
      <w:r>
        <w:t xml:space="preserve"/>
      </w:r>
    </w:p>
    <w:p>
      <w:pPr>
        <w:spacing w:after="60" w:before="60"/>
      </w:pPr>
      <w:r>
        <w:rPr>
          <w:rFonts w:ascii="Arial" w:cs="Arial" w:eastAsia="Arial" w:hAnsi="Arial"/>
          <w:sz w:val="22"/>
          <w:szCs w:val="22"/>
        </w:rPr>
        <w:t xml:space="preserve">The program is taught by Tyler Dalton, PharmD, an active community pharmacist with extensive practice experience. Students benefit from real-world instruction grounded in active pharmacy practice.</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20"/>
        <w:gridCol w:w="6840"/>
      </w:tblGrid>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Program Title</w:t>
            </w:r>
          </w:p>
        </w:tc>
        <w:tc>
          <w:tcPr>
            <w:tcW w:type="dxa" w:w="68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Pharmacy Technician Certification Program</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Credential Awarded</w:t>
            </w:r>
          </w:p>
        </w:tc>
        <w:tc>
          <w:tcPr>
            <w:tcW w:type="dxa" w:w="68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Certificate of Completion; prepares for PTCB CPhT</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Program Length</w:t>
            </w:r>
          </w:p>
        </w:tc>
        <w:tc>
          <w:tcPr>
            <w:tcW w:type="dxa" w:w="68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16 weeks (self-paced)</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Total Hours</w:t>
            </w:r>
          </w:p>
        </w:tc>
        <w:tc>
          <w:tcPr>
            <w:tcW w:type="dxa" w:w="68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189 Instructional Hours</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Delivery Format</w:t>
            </w:r>
          </w:p>
        </w:tc>
        <w:tc>
          <w:tcPr>
            <w:tcW w:type="dxa" w:w="68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100% Online, Asynchronous</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Lead Educator</w:t>
            </w:r>
          </w:p>
        </w:tc>
        <w:tc>
          <w:tcPr>
            <w:tcW w:type="dxa" w:w="68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Tyler Dalton, PharmD</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Platform</w:t>
            </w:r>
          </w:p>
        </w:tc>
        <w:tc>
          <w:tcPr>
            <w:tcW w:type="dxa" w:w="68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Allied Health Academy LMS (alliedhealthtraining.org)</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PTCB Recognition</w:t>
            </w:r>
          </w:p>
        </w:tc>
        <w:tc>
          <w:tcPr>
            <w:tcW w:type="dxa" w:w="68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PTCB-Recognized Program</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State Approval</w:t>
            </w:r>
          </w:p>
        </w:tc>
        <w:tc>
          <w:tcPr>
            <w:tcW w:type="dxa" w:w="68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Alabama State Approved</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WIOA / ETPL</w:t>
            </w:r>
          </w:p>
        </w:tc>
        <w:tc>
          <w:tcPr>
            <w:tcW w:type="dxa" w:w="68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Approved for ITA Funding (Alabama)</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CIP Code</w:t>
            </w:r>
          </w:p>
        </w:tc>
        <w:tc>
          <w:tcPr>
            <w:tcW w:type="dxa" w:w="68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51.0805 — Pharmacy Technician/Assistant</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SOC Code</w:t>
            </w:r>
          </w:p>
        </w:tc>
        <w:tc>
          <w:tcPr>
            <w:tcW w:type="dxa" w:w="68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29-2052 — Pharmacy Technicians</w:t>
            </w:r>
          </w:p>
        </w:tc>
      </w:tr>
    </w:tbl>
    <w:p>
      <w:pPr>
        <w:spacing w:after="0" w:before="160"/>
      </w:pPr>
      <w:r>
        <w:t xml:space="preserve"/>
      </w:r>
    </w:p>
    <w:p>
      <w:pPr>
        <w:pStyle w:val="Heading2"/>
        <w:spacing w:after="80" w:before="240"/>
      </w:pPr>
      <w:r>
        <w:rPr>
          <w:rFonts w:ascii="Arial" w:cs="Arial" w:eastAsia="Arial" w:hAnsi="Arial"/>
          <w:b/>
          <w:bCs/>
          <w:color w:val="2E75B6"/>
          <w:sz w:val="24"/>
          <w:szCs w:val="24"/>
        </w:rPr>
        <w:t xml:space="preserve">Program Mission</w:t>
      </w:r>
    </w:p>
    <w:p>
      <w:pPr>
        <w:spacing w:after="60" w:before="60"/>
      </w:pPr>
      <w:r>
        <w:rPr>
          <w:rFonts w:ascii="Arial" w:cs="Arial" w:eastAsia="Arial" w:hAnsi="Arial"/>
          <w:sz w:val="22"/>
          <w:szCs w:val="22"/>
        </w:rPr>
        <w:t xml:space="preserve">Allied Health Academy exists to provide accessible, high-quality pharmacy technician training led by an active, credentialed pharmacist. Our mission is to lower barriers to healthcare careers, support workforce development goals, and equip students with the knowledge and skills to succeed on the PTCE and thrive in a pharmacy setting from day one.</w:t>
      </w:r>
    </w:p>
    <w:p>
      <w:pPr>
        <w:spacing w:after="0" w:before="80"/>
      </w:pPr>
      <w:r>
        <w:t xml:space="preserve"/>
      </w:r>
    </w:p>
    <w:p>
      <w:pPr>
        <w:pStyle w:val="Heading2"/>
        <w:spacing w:after="80" w:before="240"/>
      </w:pPr>
      <w:r>
        <w:rPr>
          <w:rFonts w:ascii="Arial" w:cs="Arial" w:eastAsia="Arial" w:hAnsi="Arial"/>
          <w:b/>
          <w:bCs/>
          <w:color w:val="2E75B6"/>
          <w:sz w:val="24"/>
          <w:szCs w:val="24"/>
        </w:rPr>
        <w:t xml:space="preserve">Externship and Employment Pathway</w:t>
      </w:r>
    </w:p>
    <w:p>
      <w:pPr>
        <w:spacing w:after="60" w:before="60"/>
      </w:pPr>
      <w:r>
        <w:rPr>
          <w:rFonts w:ascii="Arial" w:cs="Arial" w:eastAsia="Arial" w:hAnsi="Arial"/>
          <w:sz w:val="22"/>
          <w:szCs w:val="22"/>
        </w:rPr>
        <w:t xml:space="preserve">Allied Health Academy offers a built-in externship-to-hire employment pathway through affiliated partner pharmacies. Graduates who complete the program have direct access to externship placements and are considered priority hires. This pipeline is a unique feature unavailable through online-only national competitors.</w:t>
      </w:r>
    </w:p>
    <w:p>
      <w:r>
        <w:br w:type="page"/>
      </w:r>
    </w:p>
    <w:p>
      <w:pPr>
        <w:pStyle w:val="Heading1"/>
        <w:pBdr>
          <w:bottom w:val="single" w:color="2E75B6" w:sz="6" w:space="4"/>
        </w:pBdr>
        <w:spacing w:after="120" w:before="360"/>
      </w:pPr>
      <w:r>
        <w:rPr>
          <w:rFonts w:ascii="Arial" w:cs="Arial" w:eastAsia="Arial" w:hAnsi="Arial"/>
          <w:b/>
          <w:bCs/>
          <w:color w:val="1F4E79"/>
          <w:sz w:val="28"/>
          <w:szCs w:val="28"/>
        </w:rPr>
        <w:t xml:space="preserve">Section 2: Admissions and Prerequisites</w:t>
      </w:r>
    </w:p>
    <w:p>
      <w:pPr>
        <w:pStyle w:val="Heading2"/>
        <w:spacing w:after="80" w:before="240"/>
      </w:pPr>
      <w:r>
        <w:rPr>
          <w:rFonts w:ascii="Arial" w:cs="Arial" w:eastAsia="Arial" w:hAnsi="Arial"/>
          <w:b/>
          <w:bCs/>
          <w:color w:val="2E75B6"/>
          <w:sz w:val="24"/>
          <w:szCs w:val="24"/>
        </w:rPr>
        <w:t xml:space="preserve">Minimum Requirements</w:t>
      </w:r>
    </w:p>
    <w:p>
      <w:pPr>
        <w:pStyle w:val="ListParagraph"/>
        <w:numPr>
          <w:ilvl w:val="0"/>
          <w:numId w:val="2"/>
        </w:numPr>
        <w:spacing w:after="40" w:before="40"/>
      </w:pPr>
      <w:r>
        <w:rPr>
          <w:rFonts w:ascii="Arial" w:cs="Arial" w:eastAsia="Arial" w:hAnsi="Arial"/>
          <w:b w:val="false"/>
          <w:bCs w:val="false"/>
          <w:sz w:val="22"/>
          <w:szCs w:val="22"/>
        </w:rPr>
        <w:t xml:space="preserve">High school diploma or GED equivalent</w:t>
      </w:r>
    </w:p>
    <w:p>
      <w:pPr>
        <w:pStyle w:val="ListParagraph"/>
        <w:numPr>
          <w:ilvl w:val="0"/>
          <w:numId w:val="2"/>
        </w:numPr>
        <w:spacing w:after="40" w:before="40"/>
      </w:pPr>
      <w:r>
        <w:rPr>
          <w:rFonts w:ascii="Arial" w:cs="Arial" w:eastAsia="Arial" w:hAnsi="Arial"/>
          <w:b w:val="false"/>
          <w:bCs w:val="false"/>
          <w:sz w:val="22"/>
          <w:szCs w:val="22"/>
        </w:rPr>
        <w:t xml:space="preserve">Must be 17 years of age or older</w:t>
      </w:r>
    </w:p>
    <w:p>
      <w:pPr>
        <w:pStyle w:val="ListParagraph"/>
        <w:numPr>
          <w:ilvl w:val="0"/>
          <w:numId w:val="2"/>
        </w:numPr>
        <w:spacing w:after="40" w:before="40"/>
      </w:pPr>
      <w:r>
        <w:rPr>
          <w:rFonts w:ascii="Arial" w:cs="Arial" w:eastAsia="Arial" w:hAnsi="Arial"/>
          <w:b w:val="false"/>
          <w:bCs w:val="false"/>
          <w:sz w:val="22"/>
          <w:szCs w:val="22"/>
        </w:rPr>
        <w:t xml:space="preserve">No prior pharmacy or healthcare experience required</w:t>
      </w:r>
    </w:p>
    <w:p>
      <w:pPr>
        <w:pStyle w:val="ListParagraph"/>
        <w:numPr>
          <w:ilvl w:val="0"/>
          <w:numId w:val="2"/>
        </w:numPr>
        <w:spacing w:after="40" w:before="40"/>
      </w:pPr>
      <w:r>
        <w:rPr>
          <w:rFonts w:ascii="Arial" w:cs="Arial" w:eastAsia="Arial" w:hAnsi="Arial"/>
          <w:b w:val="false"/>
          <w:bCs w:val="false"/>
          <w:sz w:val="22"/>
          <w:szCs w:val="22"/>
        </w:rPr>
        <w:t xml:space="preserve">Computer with internet access and ability to stream video content</w:t>
      </w:r>
    </w:p>
    <w:p>
      <w:pPr>
        <w:pStyle w:val="ListParagraph"/>
        <w:numPr>
          <w:ilvl w:val="0"/>
          <w:numId w:val="2"/>
        </w:numPr>
        <w:spacing w:after="40" w:before="40"/>
      </w:pPr>
      <w:r>
        <w:rPr>
          <w:rFonts w:ascii="Arial" w:cs="Arial" w:eastAsia="Arial" w:hAnsi="Arial"/>
          <w:b w:val="false"/>
          <w:bCs w:val="false"/>
          <w:sz w:val="22"/>
          <w:szCs w:val="22"/>
        </w:rPr>
        <w:t xml:space="preserve">Valid government-issued photo identification</w:t>
      </w:r>
    </w:p>
    <w:p>
      <w:pPr>
        <w:spacing w:after="0" w:before="80"/>
      </w:pPr>
      <w:r>
        <w:t xml:space="preserve"/>
      </w:r>
    </w:p>
    <w:p>
      <w:pPr>
        <w:pStyle w:val="Heading2"/>
        <w:spacing w:after="80" w:before="240"/>
      </w:pPr>
      <w:r>
        <w:rPr>
          <w:rFonts w:ascii="Arial" w:cs="Arial" w:eastAsia="Arial" w:hAnsi="Arial"/>
          <w:b/>
          <w:bCs/>
          <w:color w:val="2E75B6"/>
          <w:sz w:val="24"/>
          <w:szCs w:val="24"/>
        </w:rPr>
        <w:t xml:space="preserve">Enrollment</w:t>
      </w:r>
    </w:p>
    <w:p>
      <w:pPr>
        <w:spacing w:after="60" w:before="60"/>
      </w:pPr>
      <w:r>
        <w:rPr>
          <w:rFonts w:ascii="Arial" w:cs="Arial" w:eastAsia="Arial" w:hAnsi="Arial"/>
          <w:sz w:val="22"/>
          <w:szCs w:val="22"/>
        </w:rPr>
        <w:t xml:space="preserve">Enrollment is open and rolling. Students may begin at any time. Upon enrollment, students receive immediate access to all course materials through the Allied Health Academy learning platform. There is no waitlist and no prior approval period required for enrollment.</w:t>
      </w:r>
    </w:p>
    <w:p>
      <w:pPr>
        <w:spacing w:after="0" w:before="80"/>
      </w:pPr>
      <w:r>
        <w:t xml:space="preserve"/>
      </w:r>
    </w:p>
    <w:p>
      <w:pPr>
        <w:pStyle w:val="Heading2"/>
        <w:spacing w:after="80" w:before="240"/>
      </w:pPr>
      <w:r>
        <w:rPr>
          <w:rFonts w:ascii="Arial" w:cs="Arial" w:eastAsia="Arial" w:hAnsi="Arial"/>
          <w:b/>
          <w:bCs/>
          <w:color w:val="2E75B6"/>
          <w:sz w:val="24"/>
          <w:szCs w:val="24"/>
        </w:rPr>
        <w:t xml:space="preserve">WIOA / ITA Students</w:t>
      </w:r>
    </w:p>
    <w:p>
      <w:pPr>
        <w:spacing w:after="60" w:before="60"/>
      </w:pPr>
      <w:r>
        <w:rPr>
          <w:rFonts w:ascii="Arial" w:cs="Arial" w:eastAsia="Arial" w:hAnsi="Arial"/>
          <w:sz w:val="22"/>
          <w:szCs w:val="22"/>
        </w:rPr>
        <w:t xml:space="preserve">Students funding their enrollment through a Workforce Innovation and Opportunity Act (WIOA) Individual Training Account (ITA) must obtain authorization from their assigned American Job Center case manager prior to enrollment. Allied Health Academy is approved on Alabama's Eligible Training Provider List (ETPL). Students should provide the program's ETPL listing to their case manager.</w:t>
      </w:r>
    </w:p>
    <w:p>
      <w:r>
        <w:br w:type="page"/>
      </w:r>
    </w:p>
    <w:p>
      <w:pPr>
        <w:pStyle w:val="Heading1"/>
        <w:pBdr>
          <w:bottom w:val="single" w:color="2E75B6" w:sz="6" w:space="4"/>
        </w:pBdr>
        <w:spacing w:after="120" w:before="360"/>
      </w:pPr>
      <w:r>
        <w:rPr>
          <w:rFonts w:ascii="Arial" w:cs="Arial" w:eastAsia="Arial" w:hAnsi="Arial"/>
          <w:b/>
          <w:bCs/>
          <w:color w:val="1F4E79"/>
          <w:sz w:val="28"/>
          <w:szCs w:val="28"/>
        </w:rPr>
        <w:t xml:space="preserve">Section 3: PTCE Domain Alignment (2026)</w:t>
      </w:r>
    </w:p>
    <w:p>
      <w:pPr>
        <w:spacing w:after="60" w:before="60"/>
      </w:pPr>
      <w:r>
        <w:rPr>
          <w:rFonts w:ascii="Arial" w:cs="Arial" w:eastAsia="Arial" w:hAnsi="Arial"/>
          <w:sz w:val="22"/>
          <w:szCs w:val="22"/>
        </w:rPr>
        <w:t xml:space="preserve">The curriculum is fully aligned to the 2026 PTCE Content Outline published by the Pharmacy Technician Certification Board (PTCB). All four knowledge domains are covered across the nine courses. The table below reflects the 2026 PTCE domain weights.</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0"/>
        <w:gridCol w:w="2160"/>
      </w:tblGrid>
      <w:tr>
        <w:trPr>
          <w:tblHeader/>
        </w:trPr>
        <w:tc>
          <w:tcPr>
            <w:tcW w:type="dxa" w:w="72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PTCE Knowledge Domain (2026)</w:t>
            </w:r>
          </w:p>
        </w:tc>
        <w:tc>
          <w:tcPr>
            <w:tcW w:type="dxa" w:w="21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Exam Weight</w:t>
            </w:r>
          </w:p>
        </w:tc>
      </w:tr>
      <w:tr>
        <w:tc>
          <w:tcPr>
            <w:tcW w:type="dxa" w:w="7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1. Medications</w:t>
            </w:r>
          </w:p>
        </w:tc>
        <w:tc>
          <w:tcPr>
            <w:tcW w:type="dxa" w:w="2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b/>
                <w:bCs/>
                <w:color w:val="2E75B6"/>
                <w:sz w:val="20"/>
                <w:szCs w:val="20"/>
              </w:rPr>
              <w:t xml:space="preserve">40%</w:t>
            </w:r>
          </w:p>
        </w:tc>
      </w:tr>
      <w:tr>
        <w:tc>
          <w:tcPr>
            <w:tcW w:type="dxa" w:w="7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2. Federal Requirements</w:t>
            </w:r>
          </w:p>
        </w:tc>
        <w:tc>
          <w:tcPr>
            <w:tcW w:type="dxa" w:w="2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jc w:val="center"/>
            </w:pPr>
            <w:r>
              <w:rPr>
                <w:rFonts w:ascii="Arial" w:cs="Arial" w:eastAsia="Arial" w:hAnsi="Arial"/>
                <w:b/>
                <w:bCs/>
                <w:color w:val="2E75B6"/>
                <w:sz w:val="20"/>
                <w:szCs w:val="20"/>
              </w:rPr>
              <w:t xml:space="preserve">12.5%</w:t>
            </w:r>
          </w:p>
        </w:tc>
      </w:tr>
      <w:tr>
        <w:tc>
          <w:tcPr>
            <w:tcW w:type="dxa" w:w="7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3. Patient Safety and Quality Assurance</w:t>
            </w:r>
          </w:p>
        </w:tc>
        <w:tc>
          <w:tcPr>
            <w:tcW w:type="dxa" w:w="2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b/>
                <w:bCs/>
                <w:color w:val="2E75B6"/>
                <w:sz w:val="20"/>
                <w:szCs w:val="20"/>
              </w:rPr>
              <w:t xml:space="preserve">26.25%</w:t>
            </w:r>
          </w:p>
        </w:tc>
      </w:tr>
      <w:tr>
        <w:tc>
          <w:tcPr>
            <w:tcW w:type="dxa" w:w="7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4. Order Entry and Processing</w:t>
            </w:r>
          </w:p>
        </w:tc>
        <w:tc>
          <w:tcPr>
            <w:tcW w:type="dxa" w:w="2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jc w:val="center"/>
            </w:pPr>
            <w:r>
              <w:rPr>
                <w:rFonts w:ascii="Arial" w:cs="Arial" w:eastAsia="Arial" w:hAnsi="Arial"/>
                <w:b/>
                <w:bCs/>
                <w:color w:val="2E75B6"/>
                <w:sz w:val="20"/>
                <w:szCs w:val="20"/>
              </w:rPr>
              <w:t xml:space="preserve">21.25%</w:t>
            </w:r>
          </w:p>
        </w:tc>
      </w:tr>
      <w:tr>
        <w:tc>
          <w:tcPr>
            <w:tcW w:type="dxa" w:w="72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Total</w:t>
            </w:r>
          </w:p>
        </w:tc>
        <w:tc>
          <w:tcPr>
            <w:tcW w:type="dxa" w:w="216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pPr>
              <w:jc w:val="center"/>
            </w:pPr>
            <w:r>
              <w:rPr>
                <w:rFonts w:ascii="Arial" w:cs="Arial" w:eastAsia="Arial" w:hAnsi="Arial"/>
                <w:b/>
                <w:bCs/>
                <w:color w:val="1F4E79"/>
                <w:sz w:val="20"/>
                <w:szCs w:val="20"/>
              </w:rPr>
              <w:t xml:space="preserve">100%</w:t>
            </w:r>
          </w:p>
        </w:tc>
      </w:tr>
    </w:tbl>
    <w:p>
      <w:pPr>
        <w:spacing w:after="0" w:before="80"/>
      </w:pPr>
      <w:r>
        <w:t xml:space="preserve"/>
      </w:r>
    </w:p>
    <w:p>
      <w:pPr>
        <w:spacing w:after="60" w:before="60"/>
      </w:pPr>
      <w:r>
        <w:rPr>
          <w:rFonts w:ascii="Arial" w:cs="Arial" w:eastAsia="Arial" w:hAnsi="Arial"/>
          <w:sz w:val="22"/>
          <w:szCs w:val="22"/>
        </w:rPr>
        <w:t xml:space="preserve">Note: The 2026 PTCE removed compounding and alligation from tested content. This curriculum has been updated accordingly to emphasize Drug Supply Chain Security Act (DSCSA) requirements, Federal Requirements (now 12.5% of the exam, up from 6.25%), and updated medication safety standards.</w:t>
      </w:r>
    </w:p>
    <w:p>
      <w:r>
        <w:br w:type="page"/>
      </w:r>
    </w:p>
    <w:p>
      <w:pPr>
        <w:pStyle w:val="Heading1"/>
        <w:pBdr>
          <w:bottom w:val="single" w:color="2E75B6" w:sz="6" w:space="4"/>
        </w:pBdr>
        <w:spacing w:after="120" w:before="360"/>
      </w:pPr>
      <w:r>
        <w:rPr>
          <w:rFonts w:ascii="Arial" w:cs="Arial" w:eastAsia="Arial" w:hAnsi="Arial"/>
          <w:b/>
          <w:bCs/>
          <w:color w:val="1F4E79"/>
          <w:sz w:val="28"/>
          <w:szCs w:val="28"/>
        </w:rPr>
        <w:t xml:space="preserve">Section 4: Curriculum Outline</w:t>
      </w:r>
    </w:p>
    <w:p>
      <w:pPr>
        <w:spacing w:after="60" w:before="60"/>
      </w:pPr>
      <w:r>
        <w:rPr>
          <w:rFonts w:ascii="Arial" w:cs="Arial" w:eastAsia="Arial" w:hAnsi="Arial"/>
          <w:sz w:val="22"/>
          <w:szCs w:val="22"/>
        </w:rPr>
        <w:t xml:space="preserve">The program consists of nine courses totaling 189 instructional hours. Each course includes video lectures, reading materials, knowledge checks, and module assessments. The table below provides the course sequence and hour allocation.</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6300"/>
        <w:gridCol w:w="1080"/>
        <w:gridCol w:w="1080"/>
      </w:tblGrid>
      <w:tr>
        <w:trPr>
          <w:tblHeader/>
        </w:trPr>
        <w:tc>
          <w:tcPr>
            <w:tcW w:type="dxa" w:w="9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w:t>
            </w:r>
          </w:p>
        </w:tc>
        <w:tc>
          <w:tcPr>
            <w:tcW w:type="dxa" w:w="63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0"/>
                <w:szCs w:val="20"/>
              </w:rPr>
              <w:t xml:space="preserve">Course Title</w:t>
            </w:r>
          </w:p>
        </w:tc>
        <w:tc>
          <w:tcPr>
            <w:tcW w:type="dxa" w:w="108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Hours</w:t>
            </w:r>
          </w:p>
        </w:tc>
        <w:tc>
          <w:tcPr>
            <w:tcW w:type="dxa" w:w="108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PTCE Domain</w:t>
            </w:r>
          </w:p>
        </w:tc>
      </w:tr>
      <w:tr>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b/>
                <w:bCs/>
                <w:color w:val="2E75B6"/>
                <w:sz w:val="20"/>
                <w:szCs w:val="20"/>
              </w:rPr>
              <w:t xml:space="preserve">1</w:t>
            </w:r>
          </w:p>
        </w:tc>
        <w:tc>
          <w:tcPr>
            <w:tcW w:type="dxa" w:w="6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Introduction to Pharmacy Practice and Professionalism</w:t>
            </w:r>
          </w:p>
        </w:tc>
        <w:tc>
          <w:tcPr>
            <w:tcW w:type="dxa" w:w="10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b/>
                <w:bCs/>
                <w:sz w:val="20"/>
                <w:szCs w:val="20"/>
              </w:rPr>
              <w:t xml:space="preserve">15</w:t>
            </w:r>
          </w:p>
        </w:tc>
        <w:tc>
          <w:tcPr>
            <w:tcW w:type="dxa" w:w="10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color w:val="444444"/>
                <w:sz w:val="18"/>
                <w:szCs w:val="18"/>
              </w:rPr>
              <w:t xml:space="preserve">All</w:t>
            </w:r>
          </w:p>
        </w:tc>
      </w:tr>
      <w:tr>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jc w:val="center"/>
            </w:pPr>
            <w:r>
              <w:rPr>
                <w:rFonts w:ascii="Arial" w:cs="Arial" w:eastAsia="Arial" w:hAnsi="Arial"/>
                <w:b/>
                <w:bCs/>
                <w:color w:val="2E75B6"/>
                <w:sz w:val="20"/>
                <w:szCs w:val="20"/>
              </w:rPr>
              <w:t xml:space="preserve">2</w:t>
            </w:r>
          </w:p>
        </w:tc>
        <w:tc>
          <w:tcPr>
            <w:tcW w:type="dxa" w:w="6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Federal Pharmacy Law and Regulatory Compliance</w:t>
            </w:r>
          </w:p>
        </w:tc>
        <w:tc>
          <w:tcPr>
            <w:tcW w:type="dxa" w:w="10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jc w:val="center"/>
            </w:pPr>
            <w:r>
              <w:rPr>
                <w:rFonts w:ascii="Arial" w:cs="Arial" w:eastAsia="Arial" w:hAnsi="Arial"/>
                <w:b/>
                <w:bCs/>
                <w:sz w:val="20"/>
                <w:szCs w:val="20"/>
              </w:rPr>
              <w:t xml:space="preserve">25</w:t>
            </w:r>
          </w:p>
        </w:tc>
        <w:tc>
          <w:tcPr>
            <w:tcW w:type="dxa" w:w="10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jc w:val="center"/>
            </w:pPr>
            <w:r>
              <w:rPr>
                <w:rFonts w:ascii="Arial" w:cs="Arial" w:eastAsia="Arial" w:hAnsi="Arial"/>
                <w:color w:val="444444"/>
                <w:sz w:val="18"/>
                <w:szCs w:val="18"/>
              </w:rPr>
              <w:t xml:space="preserve">Domain 2</w:t>
            </w:r>
          </w:p>
        </w:tc>
      </w:tr>
      <w:tr>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b/>
                <w:bCs/>
                <w:color w:val="2E75B6"/>
                <w:sz w:val="20"/>
                <w:szCs w:val="20"/>
              </w:rPr>
              <w:t xml:space="preserve">3</w:t>
            </w:r>
          </w:p>
        </w:tc>
        <w:tc>
          <w:tcPr>
            <w:tcW w:type="dxa" w:w="6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Drug Supply Chain, DSCSA, and Inventory Management</w:t>
            </w:r>
          </w:p>
        </w:tc>
        <w:tc>
          <w:tcPr>
            <w:tcW w:type="dxa" w:w="10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b/>
                <w:bCs/>
                <w:sz w:val="20"/>
                <w:szCs w:val="20"/>
              </w:rPr>
              <w:t xml:space="preserve">20</w:t>
            </w:r>
          </w:p>
        </w:tc>
        <w:tc>
          <w:tcPr>
            <w:tcW w:type="dxa" w:w="10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color w:val="444444"/>
                <w:sz w:val="18"/>
                <w:szCs w:val="18"/>
              </w:rPr>
              <w:t xml:space="preserve">Domains 2, 4</w:t>
            </w:r>
          </w:p>
        </w:tc>
      </w:tr>
      <w:tr>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jc w:val="center"/>
            </w:pPr>
            <w:r>
              <w:rPr>
                <w:rFonts w:ascii="Arial" w:cs="Arial" w:eastAsia="Arial" w:hAnsi="Arial"/>
                <w:b/>
                <w:bCs/>
                <w:color w:val="2E75B6"/>
                <w:sz w:val="20"/>
                <w:szCs w:val="20"/>
              </w:rPr>
              <w:t xml:space="preserve">4</w:t>
            </w:r>
          </w:p>
        </w:tc>
        <w:tc>
          <w:tcPr>
            <w:tcW w:type="dxa" w:w="6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Pharmacology and Drug Classifications</w:t>
            </w:r>
          </w:p>
        </w:tc>
        <w:tc>
          <w:tcPr>
            <w:tcW w:type="dxa" w:w="10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jc w:val="center"/>
            </w:pPr>
            <w:r>
              <w:rPr>
                <w:rFonts w:ascii="Arial" w:cs="Arial" w:eastAsia="Arial" w:hAnsi="Arial"/>
                <w:b/>
                <w:bCs/>
                <w:sz w:val="20"/>
                <w:szCs w:val="20"/>
              </w:rPr>
              <w:t xml:space="preserve">25</w:t>
            </w:r>
          </w:p>
        </w:tc>
        <w:tc>
          <w:tcPr>
            <w:tcW w:type="dxa" w:w="10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jc w:val="center"/>
            </w:pPr>
            <w:r>
              <w:rPr>
                <w:rFonts w:ascii="Arial" w:cs="Arial" w:eastAsia="Arial" w:hAnsi="Arial"/>
                <w:color w:val="444444"/>
                <w:sz w:val="18"/>
                <w:szCs w:val="18"/>
              </w:rPr>
              <w:t xml:space="preserve">Domain 1</w:t>
            </w:r>
          </w:p>
        </w:tc>
      </w:tr>
      <w:tr>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b/>
                <w:bCs/>
                <w:color w:val="2E75B6"/>
                <w:sz w:val="20"/>
                <w:szCs w:val="20"/>
              </w:rPr>
              <w:t xml:space="preserve">5</w:t>
            </w:r>
          </w:p>
        </w:tc>
        <w:tc>
          <w:tcPr>
            <w:tcW w:type="dxa" w:w="6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Top 200 Medications Mastery</w:t>
            </w:r>
          </w:p>
        </w:tc>
        <w:tc>
          <w:tcPr>
            <w:tcW w:type="dxa" w:w="10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b/>
                <w:bCs/>
                <w:sz w:val="20"/>
                <w:szCs w:val="20"/>
              </w:rPr>
              <w:t xml:space="preserve">25</w:t>
            </w:r>
          </w:p>
        </w:tc>
        <w:tc>
          <w:tcPr>
            <w:tcW w:type="dxa" w:w="10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color w:val="444444"/>
                <w:sz w:val="18"/>
                <w:szCs w:val="18"/>
              </w:rPr>
              <w:t xml:space="preserve">Domain 1</w:t>
            </w:r>
          </w:p>
        </w:tc>
      </w:tr>
      <w:tr>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jc w:val="center"/>
            </w:pPr>
            <w:r>
              <w:rPr>
                <w:rFonts w:ascii="Arial" w:cs="Arial" w:eastAsia="Arial" w:hAnsi="Arial"/>
                <w:b/>
                <w:bCs/>
                <w:color w:val="2E75B6"/>
                <w:sz w:val="20"/>
                <w:szCs w:val="20"/>
              </w:rPr>
              <w:t xml:space="preserve">6</w:t>
            </w:r>
          </w:p>
        </w:tc>
        <w:tc>
          <w:tcPr>
            <w:tcW w:type="dxa" w:w="6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Pharmacy Calculations</w:t>
            </w:r>
          </w:p>
        </w:tc>
        <w:tc>
          <w:tcPr>
            <w:tcW w:type="dxa" w:w="10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jc w:val="center"/>
            </w:pPr>
            <w:r>
              <w:rPr>
                <w:rFonts w:ascii="Arial" w:cs="Arial" w:eastAsia="Arial" w:hAnsi="Arial"/>
                <w:b/>
                <w:bCs/>
                <w:sz w:val="20"/>
                <w:szCs w:val="20"/>
              </w:rPr>
              <w:t xml:space="preserve">20</w:t>
            </w:r>
          </w:p>
        </w:tc>
        <w:tc>
          <w:tcPr>
            <w:tcW w:type="dxa" w:w="10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jc w:val="center"/>
            </w:pPr>
            <w:r>
              <w:rPr>
                <w:rFonts w:ascii="Arial" w:cs="Arial" w:eastAsia="Arial" w:hAnsi="Arial"/>
                <w:color w:val="444444"/>
                <w:sz w:val="18"/>
                <w:szCs w:val="18"/>
              </w:rPr>
              <w:t xml:space="preserve">Domain 4</w:t>
            </w:r>
          </w:p>
        </w:tc>
      </w:tr>
      <w:tr>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b/>
                <w:bCs/>
                <w:color w:val="2E75B6"/>
                <w:sz w:val="20"/>
                <w:szCs w:val="20"/>
              </w:rPr>
              <w:t xml:space="preserve">7</w:t>
            </w:r>
          </w:p>
        </w:tc>
        <w:tc>
          <w:tcPr>
            <w:tcW w:type="dxa" w:w="6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Prescription Processing and Order Entry</w:t>
            </w:r>
          </w:p>
        </w:tc>
        <w:tc>
          <w:tcPr>
            <w:tcW w:type="dxa" w:w="10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b/>
                <w:bCs/>
                <w:sz w:val="20"/>
                <w:szCs w:val="20"/>
              </w:rPr>
              <w:t xml:space="preserve">20</w:t>
            </w:r>
          </w:p>
        </w:tc>
        <w:tc>
          <w:tcPr>
            <w:tcW w:type="dxa" w:w="10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color w:val="444444"/>
                <w:sz w:val="18"/>
                <w:szCs w:val="18"/>
              </w:rPr>
              <w:t xml:space="preserve">Domain 4</w:t>
            </w:r>
          </w:p>
        </w:tc>
      </w:tr>
      <w:tr>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jc w:val="center"/>
            </w:pPr>
            <w:r>
              <w:rPr>
                <w:rFonts w:ascii="Arial" w:cs="Arial" w:eastAsia="Arial" w:hAnsi="Arial"/>
                <w:b/>
                <w:bCs/>
                <w:color w:val="2E75B6"/>
                <w:sz w:val="20"/>
                <w:szCs w:val="20"/>
              </w:rPr>
              <w:t xml:space="preserve">8</w:t>
            </w:r>
          </w:p>
        </w:tc>
        <w:tc>
          <w:tcPr>
            <w:tcW w:type="dxa" w:w="6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Patient Safety and Quality Assurance</w:t>
            </w:r>
          </w:p>
        </w:tc>
        <w:tc>
          <w:tcPr>
            <w:tcW w:type="dxa" w:w="10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jc w:val="center"/>
            </w:pPr>
            <w:r>
              <w:rPr>
                <w:rFonts w:ascii="Arial" w:cs="Arial" w:eastAsia="Arial" w:hAnsi="Arial"/>
                <w:b/>
                <w:bCs/>
                <w:sz w:val="20"/>
                <w:szCs w:val="20"/>
              </w:rPr>
              <w:t xml:space="preserve">25</w:t>
            </w:r>
          </w:p>
        </w:tc>
        <w:tc>
          <w:tcPr>
            <w:tcW w:type="dxa" w:w="10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jc w:val="center"/>
            </w:pPr>
            <w:r>
              <w:rPr>
                <w:rFonts w:ascii="Arial" w:cs="Arial" w:eastAsia="Arial" w:hAnsi="Arial"/>
                <w:color w:val="444444"/>
                <w:sz w:val="18"/>
                <w:szCs w:val="18"/>
              </w:rPr>
              <w:t xml:space="preserve">Domain 3</w:t>
            </w:r>
          </w:p>
        </w:tc>
      </w:tr>
      <w:tr>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b/>
                <w:bCs/>
                <w:color w:val="2E75B6"/>
                <w:sz w:val="20"/>
                <w:szCs w:val="20"/>
              </w:rPr>
              <w:t xml:space="preserve">9</w:t>
            </w:r>
          </w:p>
        </w:tc>
        <w:tc>
          <w:tcPr>
            <w:tcW w:type="dxa" w:w="6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PTCE Exam Preparation and Capstone</w:t>
            </w:r>
          </w:p>
        </w:tc>
        <w:tc>
          <w:tcPr>
            <w:tcW w:type="dxa" w:w="10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b/>
                <w:bCs/>
                <w:sz w:val="20"/>
                <w:szCs w:val="20"/>
              </w:rPr>
              <w:t xml:space="preserve">14</w:t>
            </w:r>
          </w:p>
        </w:tc>
        <w:tc>
          <w:tcPr>
            <w:tcW w:type="dxa" w:w="10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color w:val="444444"/>
                <w:sz w:val="18"/>
                <w:szCs w:val="18"/>
              </w:rPr>
              <w:t xml:space="preserve">All</w:t>
            </w:r>
          </w:p>
        </w:tc>
      </w:tr>
      <w:tr>
        <w:tc>
          <w:tcPr>
            <w:tcW w:type="dxa" w:w="9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sz w:val="20"/>
                <w:szCs w:val="20"/>
              </w:rPr>
              <w:t xml:space="preserve"/>
            </w:r>
          </w:p>
        </w:tc>
        <w:tc>
          <w:tcPr>
            <w:tcW w:type="dxa" w:w="63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Total Program Hours</w:t>
            </w:r>
          </w:p>
        </w:tc>
        <w:tc>
          <w:tcPr>
            <w:tcW w:type="dxa" w:w="108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pPr>
              <w:jc w:val="center"/>
            </w:pPr>
            <w:r>
              <w:rPr>
                <w:rFonts w:ascii="Arial" w:cs="Arial" w:eastAsia="Arial" w:hAnsi="Arial"/>
                <w:b/>
                <w:bCs/>
                <w:color w:val="1F4E79"/>
                <w:sz w:val="20"/>
                <w:szCs w:val="20"/>
              </w:rPr>
              <w:t xml:space="preserve">189</w:t>
            </w:r>
          </w:p>
        </w:tc>
        <w:tc>
          <w:tcPr>
            <w:tcW w:type="dxa" w:w="108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sz w:val="20"/>
                <w:szCs w:val="20"/>
              </w:rPr>
              <w:t xml:space="preserve"/>
            </w:r>
          </w:p>
        </w:tc>
      </w:tr>
    </w:tbl>
    <w:p>
      <w:r>
        <w:br w:type="page"/>
      </w:r>
    </w:p>
    <w:p>
      <w:pPr>
        <w:pStyle w:val="Heading1"/>
        <w:pBdr>
          <w:bottom w:val="single" w:color="2E75B6" w:sz="6" w:space="4"/>
        </w:pBdr>
        <w:spacing w:after="120" w:before="360"/>
      </w:pPr>
      <w:r>
        <w:rPr>
          <w:rFonts w:ascii="Arial" w:cs="Arial" w:eastAsia="Arial" w:hAnsi="Arial"/>
          <w:b/>
          <w:bCs/>
          <w:color w:val="1F4E79"/>
          <w:sz w:val="28"/>
          <w:szCs w:val="28"/>
        </w:rPr>
        <w:t xml:space="preserve">Section 5: Course Descriptions</w:t>
      </w:r>
    </w:p>
    <w:p>
      <w:pPr>
        <w:pStyle w:val="Heading2"/>
        <w:spacing w:after="80" w:before="240"/>
      </w:pPr>
      <w:r>
        <w:rPr>
          <w:rFonts w:ascii="Arial" w:cs="Arial" w:eastAsia="Arial" w:hAnsi="Arial"/>
          <w:b/>
          <w:bCs/>
          <w:color w:val="2E75B6"/>
          <w:sz w:val="24"/>
          <w:szCs w:val="24"/>
        </w:rPr>
        <w:t xml:space="preserve">Course 1: Introduction to Pharmacy Practice and Professionalism  (15 Hours)</w:t>
      </w:r>
    </w:p>
    <w:p>
      <w:pPr>
        <w:spacing w:after="60" w:before="60"/>
      </w:pPr>
      <w:r>
        <w:rPr>
          <w:rFonts w:ascii="Arial" w:cs="Arial" w:eastAsia="Arial" w:hAnsi="Arial"/>
          <w:sz w:val="22"/>
          <w:szCs w:val="22"/>
        </w:rPr>
        <w:t xml:space="preserve">This foundational course introduces students to the pharmacy profession, the role and responsibilities of a Certified Pharmacy Technician, and the professional and ethical standards expected in all practice settings.</w:t>
      </w:r>
    </w:p>
    <w:p>
      <w:pPr>
        <w:spacing w:after="0" w:before="40"/>
      </w:pPr>
      <w:r>
        <w:t xml:space="preserve"/>
      </w:r>
    </w:p>
    <w:p>
      <w:pPr>
        <w:pStyle w:val="Heading3"/>
        <w:spacing w:after="60" w:before="160"/>
      </w:pPr>
      <w:r>
        <w:rPr>
          <w:rFonts w:ascii="Arial" w:cs="Arial" w:eastAsia="Arial" w:hAnsi="Arial"/>
          <w:b/>
          <w:bCs/>
          <w:color w:val="000000"/>
          <w:sz w:val="22"/>
          <w:szCs w:val="22"/>
        </w:rPr>
        <w:t xml:space="preserve">Learning Objectives</w:t>
      </w:r>
    </w:p>
    <w:p>
      <w:pPr>
        <w:pStyle w:val="ListParagraph"/>
        <w:numPr>
          <w:ilvl w:val="0"/>
          <w:numId w:val="2"/>
        </w:numPr>
        <w:spacing w:after="40" w:before="40"/>
      </w:pPr>
      <w:r>
        <w:rPr>
          <w:rFonts w:ascii="Arial" w:cs="Arial" w:eastAsia="Arial" w:hAnsi="Arial"/>
          <w:b w:val="false"/>
          <w:bCs w:val="false"/>
          <w:sz w:val="22"/>
          <w:szCs w:val="22"/>
        </w:rPr>
        <w:t xml:space="preserve">Describe the role of the pharmacy technician in community, institutional, and specialty pharmacy settings</w:t>
      </w:r>
    </w:p>
    <w:p>
      <w:pPr>
        <w:pStyle w:val="ListParagraph"/>
        <w:numPr>
          <w:ilvl w:val="0"/>
          <w:numId w:val="2"/>
        </w:numPr>
        <w:spacing w:after="40" w:before="40"/>
      </w:pPr>
      <w:r>
        <w:rPr>
          <w:rFonts w:ascii="Arial" w:cs="Arial" w:eastAsia="Arial" w:hAnsi="Arial"/>
          <w:b w:val="false"/>
          <w:bCs w:val="false"/>
          <w:sz w:val="22"/>
          <w:szCs w:val="22"/>
        </w:rPr>
        <w:t xml:space="preserve">Identify key regulatory bodies governing pharmacy practice, including PTCB, FDA, DEA, and state boards of pharmacy</w:t>
      </w:r>
    </w:p>
    <w:p>
      <w:pPr>
        <w:pStyle w:val="ListParagraph"/>
        <w:numPr>
          <w:ilvl w:val="0"/>
          <w:numId w:val="2"/>
        </w:numPr>
        <w:spacing w:after="40" w:before="40"/>
      </w:pPr>
      <w:r>
        <w:rPr>
          <w:rFonts w:ascii="Arial" w:cs="Arial" w:eastAsia="Arial" w:hAnsi="Arial"/>
          <w:b w:val="false"/>
          <w:bCs w:val="false"/>
          <w:sz w:val="22"/>
          <w:szCs w:val="22"/>
        </w:rPr>
        <w:t xml:space="preserve">Apply the PTCB Code of Ethics to professional decision-making scenarios</w:t>
      </w:r>
    </w:p>
    <w:p>
      <w:pPr>
        <w:pStyle w:val="ListParagraph"/>
        <w:numPr>
          <w:ilvl w:val="0"/>
          <w:numId w:val="2"/>
        </w:numPr>
        <w:spacing w:after="40" w:before="40"/>
      </w:pPr>
      <w:r>
        <w:rPr>
          <w:rFonts w:ascii="Arial" w:cs="Arial" w:eastAsia="Arial" w:hAnsi="Arial"/>
          <w:b w:val="false"/>
          <w:bCs w:val="false"/>
          <w:sz w:val="22"/>
          <w:szCs w:val="22"/>
        </w:rPr>
        <w:t xml:space="preserve">Explain HIPAA requirements and patient confidentiality obligations</w:t>
      </w:r>
    </w:p>
    <w:p>
      <w:pPr>
        <w:pStyle w:val="ListParagraph"/>
        <w:numPr>
          <w:ilvl w:val="0"/>
          <w:numId w:val="2"/>
        </w:numPr>
        <w:spacing w:after="40" w:before="40"/>
      </w:pPr>
      <w:r>
        <w:rPr>
          <w:rFonts w:ascii="Arial" w:cs="Arial" w:eastAsia="Arial" w:hAnsi="Arial"/>
          <w:b w:val="false"/>
          <w:bCs w:val="false"/>
          <w:sz w:val="22"/>
          <w:szCs w:val="22"/>
        </w:rPr>
        <w:t xml:space="preserve">Demonstrate professional communication skills in patient and healthcare team interactions</w:t>
      </w:r>
    </w:p>
    <w:p>
      <w:pPr>
        <w:spacing w:after="0" w:before="40"/>
      </w:pPr>
      <w:r>
        <w:t xml:space="preserve"/>
      </w:r>
    </w:p>
    <w:p>
      <w:pPr>
        <w:pStyle w:val="Heading3"/>
        <w:spacing w:after="60" w:before="160"/>
      </w:pPr>
      <w:r>
        <w:rPr>
          <w:rFonts w:ascii="Arial" w:cs="Arial" w:eastAsia="Arial" w:hAnsi="Arial"/>
          <w:b/>
          <w:bCs/>
          <w:color w:val="000000"/>
          <w:sz w:val="22"/>
          <w:szCs w:val="22"/>
        </w:rPr>
        <w:t xml:space="preserve">Topics Covered</w:t>
      </w:r>
    </w:p>
    <w:p>
      <w:pPr>
        <w:pStyle w:val="ListParagraph"/>
        <w:numPr>
          <w:ilvl w:val="0"/>
          <w:numId w:val="2"/>
        </w:numPr>
        <w:spacing w:after="40" w:before="40"/>
      </w:pPr>
      <w:r>
        <w:rPr>
          <w:rFonts w:ascii="Arial" w:cs="Arial" w:eastAsia="Arial" w:hAnsi="Arial"/>
          <w:b w:val="false"/>
          <w:bCs w:val="false"/>
          <w:sz w:val="22"/>
          <w:szCs w:val="22"/>
        </w:rPr>
        <w:t xml:space="preserve">History and evolution of pharmacy practice</w:t>
      </w:r>
    </w:p>
    <w:p>
      <w:pPr>
        <w:pStyle w:val="ListParagraph"/>
        <w:numPr>
          <w:ilvl w:val="0"/>
          <w:numId w:val="2"/>
        </w:numPr>
        <w:spacing w:after="40" w:before="40"/>
      </w:pPr>
      <w:r>
        <w:rPr>
          <w:rFonts w:ascii="Arial" w:cs="Arial" w:eastAsia="Arial" w:hAnsi="Arial"/>
          <w:b w:val="false"/>
          <w:bCs w:val="false"/>
          <w:sz w:val="22"/>
          <w:szCs w:val="22"/>
        </w:rPr>
        <w:t xml:space="preserve">Pharmacy technician scope of practice and state-specific requirements</w:t>
      </w:r>
    </w:p>
    <w:p>
      <w:pPr>
        <w:pStyle w:val="ListParagraph"/>
        <w:numPr>
          <w:ilvl w:val="0"/>
          <w:numId w:val="2"/>
        </w:numPr>
        <w:spacing w:after="40" w:before="40"/>
      </w:pPr>
      <w:r>
        <w:rPr>
          <w:rFonts w:ascii="Arial" w:cs="Arial" w:eastAsia="Arial" w:hAnsi="Arial"/>
          <w:b w:val="false"/>
          <w:bCs w:val="false"/>
          <w:sz w:val="22"/>
          <w:szCs w:val="22"/>
        </w:rPr>
        <w:t xml:space="preserve">The pharmacist-technician professional relationship</w:t>
      </w:r>
    </w:p>
    <w:p>
      <w:pPr>
        <w:pStyle w:val="ListParagraph"/>
        <w:numPr>
          <w:ilvl w:val="0"/>
          <w:numId w:val="2"/>
        </w:numPr>
        <w:spacing w:after="40" w:before="40"/>
      </w:pPr>
      <w:r>
        <w:rPr>
          <w:rFonts w:ascii="Arial" w:cs="Arial" w:eastAsia="Arial" w:hAnsi="Arial"/>
          <w:b w:val="false"/>
          <w:bCs w:val="false"/>
          <w:sz w:val="22"/>
          <w:szCs w:val="22"/>
        </w:rPr>
        <w:t xml:space="preserve">Workplace ethics and the PTCB Code of Ethics</w:t>
      </w:r>
    </w:p>
    <w:p>
      <w:pPr>
        <w:pStyle w:val="ListParagraph"/>
        <w:numPr>
          <w:ilvl w:val="0"/>
          <w:numId w:val="2"/>
        </w:numPr>
        <w:spacing w:after="40" w:before="40"/>
      </w:pPr>
      <w:r>
        <w:rPr>
          <w:rFonts w:ascii="Arial" w:cs="Arial" w:eastAsia="Arial" w:hAnsi="Arial"/>
          <w:b w:val="false"/>
          <w:bCs w:val="false"/>
          <w:sz w:val="22"/>
          <w:szCs w:val="22"/>
        </w:rPr>
        <w:t xml:space="preserve">HIPAA and patient privacy in pharmacy settings</w:t>
      </w:r>
    </w:p>
    <w:p>
      <w:pPr>
        <w:pStyle w:val="ListParagraph"/>
        <w:numPr>
          <w:ilvl w:val="0"/>
          <w:numId w:val="2"/>
        </w:numPr>
        <w:spacing w:after="40" w:before="40"/>
      </w:pPr>
      <w:r>
        <w:rPr>
          <w:rFonts w:ascii="Arial" w:cs="Arial" w:eastAsia="Arial" w:hAnsi="Arial"/>
          <w:b w:val="false"/>
          <w:bCs w:val="false"/>
          <w:sz w:val="22"/>
          <w:szCs w:val="22"/>
        </w:rPr>
        <w:t xml:space="preserve">Professional communication and conflict management</w:t>
      </w:r>
    </w:p>
    <w:p>
      <w:pPr>
        <w:pStyle w:val="ListParagraph"/>
        <w:numPr>
          <w:ilvl w:val="0"/>
          <w:numId w:val="2"/>
        </w:numPr>
        <w:spacing w:after="40" w:before="40"/>
      </w:pPr>
      <w:r>
        <w:rPr>
          <w:rFonts w:ascii="Arial" w:cs="Arial" w:eastAsia="Arial" w:hAnsi="Arial"/>
          <w:b w:val="false"/>
          <w:bCs w:val="false"/>
          <w:sz w:val="22"/>
          <w:szCs w:val="22"/>
        </w:rPr>
        <w:t xml:space="preserve">State board of pharmacy registration requirements for pharmacy technicians</w:t>
      </w:r>
    </w:p>
    <w:p>
      <w:pPr>
        <w:spacing w:after="0" w:before="120"/>
      </w:pPr>
      <w:r>
        <w:t xml:space="preserve"/>
      </w:r>
    </w:p>
    <w:p>
      <w:pPr>
        <w:pStyle w:val="Heading2"/>
        <w:spacing w:after="80" w:before="240"/>
      </w:pPr>
      <w:r>
        <w:rPr>
          <w:rFonts w:ascii="Arial" w:cs="Arial" w:eastAsia="Arial" w:hAnsi="Arial"/>
          <w:b/>
          <w:bCs/>
          <w:color w:val="2E75B6"/>
          <w:sz w:val="24"/>
          <w:szCs w:val="24"/>
        </w:rPr>
        <w:t xml:space="preserve">Course 2: Federal Pharmacy Law and Regulatory Compliance  (25 Hours)</w:t>
      </w:r>
    </w:p>
    <w:p>
      <w:pPr>
        <w:spacing w:after="60" w:before="60"/>
      </w:pPr>
      <w:r>
        <w:rPr>
          <w:rFonts w:ascii="Arial" w:cs="Arial" w:eastAsia="Arial" w:hAnsi="Arial"/>
          <w:sz w:val="22"/>
          <w:szCs w:val="22"/>
        </w:rPr>
        <w:t xml:space="preserve">This course provides a comprehensive review of federal laws and regulations governing the practice of pharmacy. Students will gain the regulatory knowledge necessary to perform their duties legally and safely.</w:t>
      </w:r>
    </w:p>
    <w:p>
      <w:pPr>
        <w:spacing w:after="0" w:before="40"/>
      </w:pPr>
      <w:r>
        <w:t xml:space="preserve"/>
      </w:r>
    </w:p>
    <w:p>
      <w:pPr>
        <w:pStyle w:val="Heading3"/>
        <w:spacing w:after="60" w:before="160"/>
      </w:pPr>
      <w:r>
        <w:rPr>
          <w:rFonts w:ascii="Arial" w:cs="Arial" w:eastAsia="Arial" w:hAnsi="Arial"/>
          <w:b/>
          <w:bCs/>
          <w:color w:val="000000"/>
          <w:sz w:val="22"/>
          <w:szCs w:val="22"/>
        </w:rPr>
        <w:t xml:space="preserve">Learning Objectives</w:t>
      </w:r>
    </w:p>
    <w:p>
      <w:pPr>
        <w:pStyle w:val="ListParagraph"/>
        <w:numPr>
          <w:ilvl w:val="0"/>
          <w:numId w:val="2"/>
        </w:numPr>
        <w:spacing w:after="40" w:before="40"/>
      </w:pPr>
      <w:r>
        <w:rPr>
          <w:rFonts w:ascii="Arial" w:cs="Arial" w:eastAsia="Arial" w:hAnsi="Arial"/>
          <w:b w:val="false"/>
          <w:bCs w:val="false"/>
          <w:sz w:val="22"/>
          <w:szCs w:val="22"/>
        </w:rPr>
        <w:t xml:space="preserve">Identify and explain key federal pharmacy laws, including the Controlled Substances Act (CSA), FDCA, and DSCSA</w:t>
      </w:r>
    </w:p>
    <w:p>
      <w:pPr>
        <w:pStyle w:val="ListParagraph"/>
        <w:numPr>
          <w:ilvl w:val="0"/>
          <w:numId w:val="2"/>
        </w:numPr>
        <w:spacing w:after="40" w:before="40"/>
      </w:pPr>
      <w:r>
        <w:rPr>
          <w:rFonts w:ascii="Arial" w:cs="Arial" w:eastAsia="Arial" w:hAnsi="Arial"/>
          <w:b w:val="false"/>
          <w:bCs w:val="false"/>
          <w:sz w:val="22"/>
          <w:szCs w:val="22"/>
        </w:rPr>
        <w:t xml:space="preserve">Distinguish the five DEA drug schedules and their dispensing requirements</w:t>
      </w:r>
    </w:p>
    <w:p>
      <w:pPr>
        <w:pStyle w:val="ListParagraph"/>
        <w:numPr>
          <w:ilvl w:val="0"/>
          <w:numId w:val="2"/>
        </w:numPr>
        <w:spacing w:after="40" w:before="40"/>
      </w:pPr>
      <w:r>
        <w:rPr>
          <w:rFonts w:ascii="Arial" w:cs="Arial" w:eastAsia="Arial" w:hAnsi="Arial"/>
          <w:b w:val="false"/>
          <w:bCs w:val="false"/>
          <w:sz w:val="22"/>
          <w:szCs w:val="22"/>
        </w:rPr>
        <w:t xml:space="preserve">Apply FDA drug recall classifications in a pharmacy setting</w:t>
      </w:r>
    </w:p>
    <w:p>
      <w:pPr>
        <w:pStyle w:val="ListParagraph"/>
        <w:numPr>
          <w:ilvl w:val="0"/>
          <w:numId w:val="2"/>
        </w:numPr>
        <w:spacing w:after="40" w:before="40"/>
      </w:pPr>
      <w:r>
        <w:rPr>
          <w:rFonts w:ascii="Arial" w:cs="Arial" w:eastAsia="Arial" w:hAnsi="Arial"/>
          <w:b w:val="false"/>
          <w:bCs w:val="false"/>
          <w:sz w:val="22"/>
          <w:szCs w:val="22"/>
        </w:rPr>
        <w:t xml:space="preserve">Describe the roles and authority of the FDA, DEA, and state boards of pharmacy</w:t>
      </w:r>
    </w:p>
    <w:p>
      <w:pPr>
        <w:pStyle w:val="ListParagraph"/>
        <w:numPr>
          <w:ilvl w:val="0"/>
          <w:numId w:val="2"/>
        </w:numPr>
        <w:spacing w:after="40" w:before="40"/>
      </w:pPr>
      <w:r>
        <w:rPr>
          <w:rFonts w:ascii="Arial" w:cs="Arial" w:eastAsia="Arial" w:hAnsi="Arial"/>
          <w:b w:val="false"/>
          <w:bCs w:val="false"/>
          <w:sz w:val="22"/>
          <w:szCs w:val="22"/>
        </w:rPr>
        <w:t xml:space="preserve">Explain the National Drug Code (NDC) system and its application in dispensing</w:t>
      </w:r>
    </w:p>
    <w:p>
      <w:pPr>
        <w:spacing w:after="0" w:before="40"/>
      </w:pPr>
      <w:r>
        <w:t xml:space="preserve"/>
      </w:r>
    </w:p>
    <w:p>
      <w:pPr>
        <w:pStyle w:val="Heading3"/>
        <w:spacing w:after="60" w:before="160"/>
      </w:pPr>
      <w:r>
        <w:rPr>
          <w:rFonts w:ascii="Arial" w:cs="Arial" w:eastAsia="Arial" w:hAnsi="Arial"/>
          <w:b/>
          <w:bCs/>
          <w:color w:val="000000"/>
          <w:sz w:val="22"/>
          <w:szCs w:val="22"/>
        </w:rPr>
        <w:t xml:space="preserve">Topics Covered</w:t>
      </w:r>
    </w:p>
    <w:p>
      <w:pPr>
        <w:pStyle w:val="ListParagraph"/>
        <w:numPr>
          <w:ilvl w:val="0"/>
          <w:numId w:val="2"/>
        </w:numPr>
        <w:spacing w:after="40" w:before="40"/>
      </w:pPr>
      <w:r>
        <w:rPr>
          <w:rFonts w:ascii="Arial" w:cs="Arial" w:eastAsia="Arial" w:hAnsi="Arial"/>
          <w:b w:val="false"/>
          <w:bCs w:val="false"/>
          <w:sz w:val="22"/>
          <w:szCs w:val="22"/>
        </w:rPr>
        <w:t xml:space="preserve">Federal Food, Drug, and Cosmetic Act (FDCA)</w:t>
      </w:r>
    </w:p>
    <w:p>
      <w:pPr>
        <w:pStyle w:val="ListParagraph"/>
        <w:numPr>
          <w:ilvl w:val="0"/>
          <w:numId w:val="2"/>
        </w:numPr>
        <w:spacing w:after="40" w:before="40"/>
      </w:pPr>
      <w:r>
        <w:rPr>
          <w:rFonts w:ascii="Arial" w:cs="Arial" w:eastAsia="Arial" w:hAnsi="Arial"/>
          <w:b w:val="false"/>
          <w:bCs w:val="false"/>
          <w:sz w:val="22"/>
          <w:szCs w:val="22"/>
        </w:rPr>
        <w:t xml:space="preserve">The Controlled Substances Act: schedules I-V, prescribing and dispensing requirements</w:t>
      </w:r>
    </w:p>
    <w:p>
      <w:pPr>
        <w:pStyle w:val="ListParagraph"/>
        <w:numPr>
          <w:ilvl w:val="0"/>
          <w:numId w:val="2"/>
        </w:numPr>
        <w:spacing w:after="40" w:before="40"/>
      </w:pPr>
      <w:r>
        <w:rPr>
          <w:rFonts w:ascii="Arial" w:cs="Arial" w:eastAsia="Arial" w:hAnsi="Arial"/>
          <w:b w:val="false"/>
          <w:bCs w:val="false"/>
          <w:sz w:val="22"/>
          <w:szCs w:val="22"/>
        </w:rPr>
        <w:t xml:space="preserve">DEA registration and record-keeping for controlled substances</w:t>
      </w:r>
    </w:p>
    <w:p>
      <w:pPr>
        <w:pStyle w:val="ListParagraph"/>
        <w:numPr>
          <w:ilvl w:val="0"/>
          <w:numId w:val="2"/>
        </w:numPr>
        <w:spacing w:after="40" w:before="40"/>
      </w:pPr>
      <w:r>
        <w:rPr>
          <w:rFonts w:ascii="Arial" w:cs="Arial" w:eastAsia="Arial" w:hAnsi="Arial"/>
          <w:b w:val="false"/>
          <w:bCs w:val="false"/>
          <w:sz w:val="22"/>
          <w:szCs w:val="22"/>
        </w:rPr>
        <w:t xml:space="preserve">Drug Supply Chain Security Act (DSCSA)</w:t>
      </w:r>
    </w:p>
    <w:p>
      <w:pPr>
        <w:pStyle w:val="ListParagraph"/>
        <w:numPr>
          <w:ilvl w:val="0"/>
          <w:numId w:val="2"/>
        </w:numPr>
        <w:spacing w:after="40" w:before="40"/>
      </w:pPr>
      <w:r>
        <w:rPr>
          <w:rFonts w:ascii="Arial" w:cs="Arial" w:eastAsia="Arial" w:hAnsi="Arial"/>
          <w:b w:val="false"/>
          <w:bCs w:val="false"/>
          <w:sz w:val="22"/>
          <w:szCs w:val="22"/>
        </w:rPr>
        <w:t xml:space="preserve">FDA drug approval process and recall classifications (Class I, II, III)</w:t>
      </w:r>
    </w:p>
    <w:p>
      <w:pPr>
        <w:pStyle w:val="ListParagraph"/>
        <w:numPr>
          <w:ilvl w:val="0"/>
          <w:numId w:val="2"/>
        </w:numPr>
        <w:spacing w:after="40" w:before="40"/>
      </w:pPr>
      <w:r>
        <w:rPr>
          <w:rFonts w:ascii="Arial" w:cs="Arial" w:eastAsia="Arial" w:hAnsi="Arial"/>
          <w:b w:val="false"/>
          <w:bCs w:val="false"/>
          <w:sz w:val="22"/>
          <w:szCs w:val="22"/>
        </w:rPr>
        <w:t xml:space="preserve">Combat Methamphetamine Epidemic Act (CMEA)</w:t>
      </w:r>
    </w:p>
    <w:p>
      <w:pPr>
        <w:pStyle w:val="ListParagraph"/>
        <w:numPr>
          <w:ilvl w:val="0"/>
          <w:numId w:val="2"/>
        </w:numPr>
        <w:spacing w:after="40" w:before="40"/>
      </w:pPr>
      <w:r>
        <w:rPr>
          <w:rFonts w:ascii="Arial" w:cs="Arial" w:eastAsia="Arial" w:hAnsi="Arial"/>
          <w:b w:val="false"/>
          <w:bCs w:val="false"/>
          <w:sz w:val="22"/>
          <w:szCs w:val="22"/>
        </w:rPr>
        <w:t xml:space="preserve">National Drug Code (NDC) structure and use</w:t>
      </w:r>
    </w:p>
    <w:p>
      <w:pPr>
        <w:pStyle w:val="ListParagraph"/>
        <w:numPr>
          <w:ilvl w:val="0"/>
          <w:numId w:val="2"/>
        </w:numPr>
        <w:spacing w:after="40" w:before="40"/>
      </w:pPr>
      <w:r>
        <w:rPr>
          <w:rFonts w:ascii="Arial" w:cs="Arial" w:eastAsia="Arial" w:hAnsi="Arial"/>
          <w:b w:val="false"/>
          <w:bCs w:val="false"/>
          <w:sz w:val="22"/>
          <w:szCs w:val="22"/>
        </w:rPr>
        <w:t xml:space="preserve">Omnibus Budget Reconciliation Act (OBRA-90) and patient counseling</w:t>
      </w:r>
    </w:p>
    <w:p>
      <w:pPr>
        <w:pStyle w:val="ListParagraph"/>
        <w:numPr>
          <w:ilvl w:val="0"/>
          <w:numId w:val="2"/>
        </w:numPr>
        <w:spacing w:after="40" w:before="40"/>
      </w:pPr>
      <w:r>
        <w:rPr>
          <w:rFonts w:ascii="Arial" w:cs="Arial" w:eastAsia="Arial" w:hAnsi="Arial"/>
          <w:b w:val="false"/>
          <w:bCs w:val="false"/>
          <w:sz w:val="22"/>
          <w:szCs w:val="22"/>
        </w:rPr>
        <w:t xml:space="preserve">Health Insurance Portability and Accountability Act (HIPAA)</w:t>
      </w:r>
    </w:p>
    <w:p>
      <w:pPr>
        <w:spacing w:after="0" w:before="120"/>
      </w:pPr>
      <w:r>
        <w:t xml:space="preserve"/>
      </w:r>
    </w:p>
    <w:p>
      <w:pPr>
        <w:pStyle w:val="Heading2"/>
        <w:spacing w:after="80" w:before="240"/>
      </w:pPr>
      <w:r>
        <w:rPr>
          <w:rFonts w:ascii="Arial" w:cs="Arial" w:eastAsia="Arial" w:hAnsi="Arial"/>
          <w:b/>
          <w:bCs/>
          <w:color w:val="2E75B6"/>
          <w:sz w:val="24"/>
          <w:szCs w:val="24"/>
        </w:rPr>
        <w:t xml:space="preserve">Course 3: Drug Supply Chain, DSCSA, and Inventory Management  (20 Hours)</w:t>
      </w:r>
    </w:p>
    <w:p>
      <w:pPr>
        <w:spacing w:after="60" w:before="60"/>
      </w:pPr>
      <w:r>
        <w:rPr>
          <w:rFonts w:ascii="Arial" w:cs="Arial" w:eastAsia="Arial" w:hAnsi="Arial"/>
          <w:sz w:val="22"/>
          <w:szCs w:val="22"/>
        </w:rPr>
        <w:t xml:space="preserve">This course focuses on the legal and operational requirements for managing the pharmacy drug supply chain, including serialization, verification, and inventory management procedures required under DSCSA.</w:t>
      </w:r>
    </w:p>
    <w:p>
      <w:pPr>
        <w:spacing w:after="0" w:before="40"/>
      </w:pPr>
      <w:r>
        <w:t xml:space="preserve"/>
      </w:r>
    </w:p>
    <w:p>
      <w:pPr>
        <w:pStyle w:val="Heading3"/>
        <w:spacing w:after="60" w:before="160"/>
      </w:pPr>
      <w:r>
        <w:rPr>
          <w:rFonts w:ascii="Arial" w:cs="Arial" w:eastAsia="Arial" w:hAnsi="Arial"/>
          <w:b/>
          <w:bCs/>
          <w:color w:val="000000"/>
          <w:sz w:val="22"/>
          <w:szCs w:val="22"/>
        </w:rPr>
        <w:t xml:space="preserve">Learning Objectives</w:t>
      </w:r>
    </w:p>
    <w:p>
      <w:pPr>
        <w:pStyle w:val="ListParagraph"/>
        <w:numPr>
          <w:ilvl w:val="0"/>
          <w:numId w:val="2"/>
        </w:numPr>
        <w:spacing w:after="40" w:before="40"/>
      </w:pPr>
      <w:r>
        <w:rPr>
          <w:rFonts w:ascii="Arial" w:cs="Arial" w:eastAsia="Arial" w:hAnsi="Arial"/>
          <w:b w:val="false"/>
          <w:bCs w:val="false"/>
          <w:sz w:val="22"/>
          <w:szCs w:val="22"/>
        </w:rPr>
        <w:t xml:space="preserve">Explain the key requirements of the Drug Supply Chain Security Act (DSCSA)</w:t>
      </w:r>
    </w:p>
    <w:p>
      <w:pPr>
        <w:pStyle w:val="ListParagraph"/>
        <w:numPr>
          <w:ilvl w:val="0"/>
          <w:numId w:val="2"/>
        </w:numPr>
        <w:spacing w:after="40" w:before="40"/>
      </w:pPr>
      <w:r>
        <w:rPr>
          <w:rFonts w:ascii="Arial" w:cs="Arial" w:eastAsia="Arial" w:hAnsi="Arial"/>
          <w:b w:val="false"/>
          <w:bCs w:val="false"/>
          <w:sz w:val="22"/>
          <w:szCs w:val="22"/>
        </w:rPr>
        <w:t xml:space="preserve">Describe the process for receiving, verifying, and quarantining drug products</w:t>
      </w:r>
    </w:p>
    <w:p>
      <w:pPr>
        <w:pStyle w:val="ListParagraph"/>
        <w:numPr>
          <w:ilvl w:val="0"/>
          <w:numId w:val="2"/>
        </w:numPr>
        <w:spacing w:after="40" w:before="40"/>
      </w:pPr>
      <w:r>
        <w:rPr>
          <w:rFonts w:ascii="Arial" w:cs="Arial" w:eastAsia="Arial" w:hAnsi="Arial"/>
          <w:b w:val="false"/>
          <w:bCs w:val="false"/>
          <w:sz w:val="22"/>
          <w:szCs w:val="22"/>
        </w:rPr>
        <w:t xml:space="preserve">Perform pharmacy inventory management tasks, including cycle counts and controlled substance reconciliation</w:t>
      </w:r>
    </w:p>
    <w:p>
      <w:pPr>
        <w:pStyle w:val="ListParagraph"/>
        <w:numPr>
          <w:ilvl w:val="0"/>
          <w:numId w:val="2"/>
        </w:numPr>
        <w:spacing w:after="40" w:before="40"/>
      </w:pPr>
      <w:r>
        <w:rPr>
          <w:rFonts w:ascii="Arial" w:cs="Arial" w:eastAsia="Arial" w:hAnsi="Arial"/>
          <w:b w:val="false"/>
          <w:bCs w:val="false"/>
          <w:sz w:val="22"/>
          <w:szCs w:val="22"/>
        </w:rPr>
        <w:t xml:space="preserve">Identify suspicious orders and the procedures for reporting product integrity issues</w:t>
      </w:r>
    </w:p>
    <w:p>
      <w:pPr>
        <w:spacing w:after="0" w:before="40"/>
      </w:pPr>
      <w:r>
        <w:t xml:space="preserve"/>
      </w:r>
    </w:p>
    <w:p>
      <w:pPr>
        <w:pStyle w:val="Heading3"/>
        <w:spacing w:after="60" w:before="160"/>
      </w:pPr>
      <w:r>
        <w:rPr>
          <w:rFonts w:ascii="Arial" w:cs="Arial" w:eastAsia="Arial" w:hAnsi="Arial"/>
          <w:b/>
          <w:bCs/>
          <w:color w:val="000000"/>
          <w:sz w:val="22"/>
          <w:szCs w:val="22"/>
        </w:rPr>
        <w:t xml:space="preserve">Topics Covered</w:t>
      </w:r>
    </w:p>
    <w:p>
      <w:pPr>
        <w:pStyle w:val="ListParagraph"/>
        <w:numPr>
          <w:ilvl w:val="0"/>
          <w:numId w:val="2"/>
        </w:numPr>
        <w:spacing w:after="40" w:before="40"/>
      </w:pPr>
      <w:r>
        <w:rPr>
          <w:rFonts w:ascii="Arial" w:cs="Arial" w:eastAsia="Arial" w:hAnsi="Arial"/>
          <w:b w:val="false"/>
          <w:bCs w:val="false"/>
          <w:sz w:val="22"/>
          <w:szCs w:val="22"/>
        </w:rPr>
        <w:t xml:space="preserve">DSCSA serialization and tracing requirements</w:t>
      </w:r>
    </w:p>
    <w:p>
      <w:pPr>
        <w:pStyle w:val="ListParagraph"/>
        <w:numPr>
          <w:ilvl w:val="0"/>
          <w:numId w:val="2"/>
        </w:numPr>
        <w:spacing w:after="40" w:before="40"/>
      </w:pPr>
      <w:r>
        <w:rPr>
          <w:rFonts w:ascii="Arial" w:cs="Arial" w:eastAsia="Arial" w:hAnsi="Arial"/>
          <w:b w:val="false"/>
          <w:bCs w:val="false"/>
          <w:sz w:val="22"/>
          <w:szCs w:val="22"/>
        </w:rPr>
        <w:t xml:space="preserve">Authorized trading partners and transaction documentation</w:t>
      </w:r>
    </w:p>
    <w:p>
      <w:pPr>
        <w:pStyle w:val="ListParagraph"/>
        <w:numPr>
          <w:ilvl w:val="0"/>
          <w:numId w:val="2"/>
        </w:numPr>
        <w:spacing w:after="40" w:before="40"/>
      </w:pPr>
      <w:r>
        <w:rPr>
          <w:rFonts w:ascii="Arial" w:cs="Arial" w:eastAsia="Arial" w:hAnsi="Arial"/>
          <w:b w:val="false"/>
          <w:bCs w:val="false"/>
          <w:sz w:val="22"/>
          <w:szCs w:val="22"/>
        </w:rPr>
        <w:t xml:space="preserve">Drug product verification and suspect/illegitimate product handling</w:t>
      </w:r>
    </w:p>
    <w:p>
      <w:pPr>
        <w:pStyle w:val="ListParagraph"/>
        <w:numPr>
          <w:ilvl w:val="0"/>
          <w:numId w:val="2"/>
        </w:numPr>
        <w:spacing w:after="40" w:before="40"/>
      </w:pPr>
      <w:r>
        <w:rPr>
          <w:rFonts w:ascii="Arial" w:cs="Arial" w:eastAsia="Arial" w:hAnsi="Arial"/>
          <w:b w:val="false"/>
          <w:bCs w:val="false"/>
          <w:sz w:val="22"/>
          <w:szCs w:val="22"/>
        </w:rPr>
        <w:t xml:space="preserve">Receiving prescription drug orders</w:t>
      </w:r>
    </w:p>
    <w:p>
      <w:pPr>
        <w:pStyle w:val="ListParagraph"/>
        <w:numPr>
          <w:ilvl w:val="0"/>
          <w:numId w:val="2"/>
        </w:numPr>
        <w:spacing w:after="40" w:before="40"/>
      </w:pPr>
      <w:r>
        <w:rPr>
          <w:rFonts w:ascii="Arial" w:cs="Arial" w:eastAsia="Arial" w:hAnsi="Arial"/>
          <w:b w:val="false"/>
          <w:bCs w:val="false"/>
          <w:sz w:val="22"/>
          <w:szCs w:val="22"/>
        </w:rPr>
        <w:t xml:space="preserve">Inventory management: PAR levels, automated dispensing systems, ordering</w:t>
      </w:r>
    </w:p>
    <w:p>
      <w:pPr>
        <w:pStyle w:val="ListParagraph"/>
        <w:numPr>
          <w:ilvl w:val="0"/>
          <w:numId w:val="2"/>
        </w:numPr>
        <w:spacing w:after="40" w:before="40"/>
      </w:pPr>
      <w:r>
        <w:rPr>
          <w:rFonts w:ascii="Arial" w:cs="Arial" w:eastAsia="Arial" w:hAnsi="Arial"/>
          <w:b w:val="false"/>
          <w:bCs w:val="false"/>
          <w:sz w:val="22"/>
          <w:szCs w:val="22"/>
        </w:rPr>
        <w:t xml:space="preserve">Controlled substance inventory: biennial inventory, perpetual counts, discrepancy reporting</w:t>
      </w:r>
    </w:p>
    <w:p>
      <w:pPr>
        <w:pStyle w:val="ListParagraph"/>
        <w:numPr>
          <w:ilvl w:val="0"/>
          <w:numId w:val="2"/>
        </w:numPr>
        <w:spacing w:after="40" w:before="40"/>
      </w:pPr>
      <w:r>
        <w:rPr>
          <w:rFonts w:ascii="Arial" w:cs="Arial" w:eastAsia="Arial" w:hAnsi="Arial"/>
          <w:b w:val="false"/>
          <w:bCs w:val="false"/>
          <w:sz w:val="22"/>
          <w:szCs w:val="22"/>
        </w:rPr>
        <w:t xml:space="preserve">Expired medication returns and reverse distribution</w:t>
      </w:r>
    </w:p>
    <w:p>
      <w:pPr>
        <w:pStyle w:val="ListParagraph"/>
        <w:numPr>
          <w:ilvl w:val="0"/>
          <w:numId w:val="2"/>
        </w:numPr>
        <w:spacing w:after="40" w:before="40"/>
      </w:pPr>
      <w:r>
        <w:rPr>
          <w:rFonts w:ascii="Arial" w:cs="Arial" w:eastAsia="Arial" w:hAnsi="Arial"/>
          <w:b w:val="false"/>
          <w:bCs w:val="false"/>
          <w:sz w:val="22"/>
          <w:szCs w:val="22"/>
        </w:rPr>
        <w:t xml:space="preserve">Formulary management and therapeutic substitution</w:t>
      </w:r>
    </w:p>
    <w:p>
      <w:pPr>
        <w:spacing w:after="0" w:before="120"/>
      </w:pPr>
      <w:r>
        <w:t xml:space="preserve"/>
      </w:r>
    </w:p>
    <w:p>
      <w:pPr>
        <w:pStyle w:val="Heading2"/>
        <w:spacing w:after="80" w:before="240"/>
      </w:pPr>
      <w:r>
        <w:rPr>
          <w:rFonts w:ascii="Arial" w:cs="Arial" w:eastAsia="Arial" w:hAnsi="Arial"/>
          <w:b/>
          <w:bCs/>
          <w:color w:val="2E75B6"/>
          <w:sz w:val="24"/>
          <w:szCs w:val="24"/>
        </w:rPr>
        <w:t xml:space="preserve">Course 4: Pharmacology and Drug Classifications  (25 Hours)</w:t>
      </w:r>
    </w:p>
    <w:p>
      <w:pPr>
        <w:spacing w:after="60" w:before="60"/>
      </w:pPr>
      <w:r>
        <w:rPr>
          <w:rFonts w:ascii="Arial" w:cs="Arial" w:eastAsia="Arial" w:hAnsi="Arial"/>
          <w:sz w:val="22"/>
          <w:szCs w:val="22"/>
        </w:rPr>
        <w:t xml:space="preserve">This course introduces students to pharmacology, covering major drug classes, their therapeutic uses, common side effects, and relevant counseling points. Students will develop the foundational medication knowledge required for safe pharmacy practice.</w:t>
      </w:r>
    </w:p>
    <w:p>
      <w:pPr>
        <w:spacing w:after="0" w:before="40"/>
      </w:pPr>
      <w:r>
        <w:t xml:space="preserve"/>
      </w:r>
    </w:p>
    <w:p>
      <w:pPr>
        <w:pStyle w:val="Heading3"/>
        <w:spacing w:after="60" w:before="160"/>
      </w:pPr>
      <w:r>
        <w:rPr>
          <w:rFonts w:ascii="Arial" w:cs="Arial" w:eastAsia="Arial" w:hAnsi="Arial"/>
          <w:b/>
          <w:bCs/>
          <w:color w:val="000000"/>
          <w:sz w:val="22"/>
          <w:szCs w:val="22"/>
        </w:rPr>
        <w:t xml:space="preserve">Learning Objectives</w:t>
      </w:r>
    </w:p>
    <w:p>
      <w:pPr>
        <w:pStyle w:val="ListParagraph"/>
        <w:numPr>
          <w:ilvl w:val="0"/>
          <w:numId w:val="2"/>
        </w:numPr>
        <w:spacing w:after="40" w:before="40"/>
      </w:pPr>
      <w:r>
        <w:rPr>
          <w:rFonts w:ascii="Arial" w:cs="Arial" w:eastAsia="Arial" w:hAnsi="Arial"/>
          <w:b w:val="false"/>
          <w:bCs w:val="false"/>
          <w:sz w:val="22"/>
          <w:szCs w:val="22"/>
        </w:rPr>
        <w:t xml:space="preserve">Identify major drug classifications and their primary therapeutic uses</w:t>
      </w:r>
    </w:p>
    <w:p>
      <w:pPr>
        <w:pStyle w:val="ListParagraph"/>
        <w:numPr>
          <w:ilvl w:val="0"/>
          <w:numId w:val="2"/>
        </w:numPr>
        <w:spacing w:after="40" w:before="40"/>
      </w:pPr>
      <w:r>
        <w:rPr>
          <w:rFonts w:ascii="Arial" w:cs="Arial" w:eastAsia="Arial" w:hAnsi="Arial"/>
          <w:b w:val="false"/>
          <w:bCs w:val="false"/>
          <w:sz w:val="22"/>
          <w:szCs w:val="22"/>
        </w:rPr>
        <w:t xml:space="preserve">Explain basic mechanisms of drug action (pharmacodynamics) and drug movement in the body (pharmacokinetics)</w:t>
      </w:r>
    </w:p>
    <w:p>
      <w:pPr>
        <w:pStyle w:val="ListParagraph"/>
        <w:numPr>
          <w:ilvl w:val="0"/>
          <w:numId w:val="2"/>
        </w:numPr>
        <w:spacing w:after="40" w:before="40"/>
      </w:pPr>
      <w:r>
        <w:rPr>
          <w:rFonts w:ascii="Arial" w:cs="Arial" w:eastAsia="Arial" w:hAnsi="Arial"/>
          <w:b w:val="false"/>
          <w:bCs w:val="false"/>
          <w:sz w:val="22"/>
          <w:szCs w:val="22"/>
        </w:rPr>
        <w:t xml:space="preserve">Recognize common drug-drug and drug-food interactions</w:t>
      </w:r>
    </w:p>
    <w:p>
      <w:pPr>
        <w:pStyle w:val="ListParagraph"/>
        <w:numPr>
          <w:ilvl w:val="0"/>
          <w:numId w:val="2"/>
        </w:numPr>
        <w:spacing w:after="40" w:before="40"/>
      </w:pPr>
      <w:r>
        <w:rPr>
          <w:rFonts w:ascii="Arial" w:cs="Arial" w:eastAsia="Arial" w:hAnsi="Arial"/>
          <w:b w:val="false"/>
          <w:bCs w:val="false"/>
          <w:sz w:val="22"/>
          <w:szCs w:val="22"/>
        </w:rPr>
        <w:t xml:space="preserve">Identify high-alert medications and the special precautions required for their handling</w:t>
      </w:r>
    </w:p>
    <w:p>
      <w:pPr>
        <w:pStyle w:val="ListParagraph"/>
        <w:numPr>
          <w:ilvl w:val="0"/>
          <w:numId w:val="2"/>
        </w:numPr>
        <w:spacing w:after="40" w:before="40"/>
      </w:pPr>
      <w:r>
        <w:rPr>
          <w:rFonts w:ascii="Arial" w:cs="Arial" w:eastAsia="Arial" w:hAnsi="Arial"/>
          <w:b w:val="false"/>
          <w:bCs w:val="false"/>
          <w:sz w:val="22"/>
          <w:szCs w:val="22"/>
        </w:rPr>
        <w:t xml:space="preserve">Describe look-alike/sound-alike (LASA) medications and strategies to prevent dispensing errors</w:t>
      </w:r>
    </w:p>
    <w:p>
      <w:pPr>
        <w:spacing w:after="0" w:before="40"/>
      </w:pPr>
      <w:r>
        <w:t xml:space="preserve"/>
      </w:r>
    </w:p>
    <w:p>
      <w:pPr>
        <w:pStyle w:val="Heading3"/>
        <w:spacing w:after="60" w:before="160"/>
      </w:pPr>
      <w:r>
        <w:rPr>
          <w:rFonts w:ascii="Arial" w:cs="Arial" w:eastAsia="Arial" w:hAnsi="Arial"/>
          <w:b/>
          <w:bCs/>
          <w:color w:val="000000"/>
          <w:sz w:val="22"/>
          <w:szCs w:val="22"/>
        </w:rPr>
        <w:t xml:space="preserve">Topics Covered</w:t>
      </w:r>
    </w:p>
    <w:p>
      <w:pPr>
        <w:pStyle w:val="ListParagraph"/>
        <w:numPr>
          <w:ilvl w:val="0"/>
          <w:numId w:val="2"/>
        </w:numPr>
        <w:spacing w:after="40" w:before="40"/>
      </w:pPr>
      <w:r>
        <w:rPr>
          <w:rFonts w:ascii="Arial" w:cs="Arial" w:eastAsia="Arial" w:hAnsi="Arial"/>
          <w:b w:val="false"/>
          <w:bCs w:val="false"/>
          <w:sz w:val="22"/>
          <w:szCs w:val="22"/>
        </w:rPr>
        <w:t xml:space="preserve">Introduction to pharmacokinetics and pharmacodynamics</w:t>
      </w:r>
    </w:p>
    <w:p>
      <w:pPr>
        <w:pStyle w:val="ListParagraph"/>
        <w:numPr>
          <w:ilvl w:val="0"/>
          <w:numId w:val="2"/>
        </w:numPr>
        <w:spacing w:after="40" w:before="40"/>
      </w:pPr>
      <w:r>
        <w:rPr>
          <w:rFonts w:ascii="Arial" w:cs="Arial" w:eastAsia="Arial" w:hAnsi="Arial"/>
          <w:b w:val="false"/>
          <w:bCs w:val="false"/>
          <w:sz w:val="22"/>
          <w:szCs w:val="22"/>
        </w:rPr>
        <w:t xml:space="preserve">Drug classifications: cardiovascular, respiratory, neurological, endocrine, anti-infective, and more</w:t>
      </w:r>
    </w:p>
    <w:p>
      <w:pPr>
        <w:pStyle w:val="ListParagraph"/>
        <w:numPr>
          <w:ilvl w:val="0"/>
          <w:numId w:val="2"/>
        </w:numPr>
        <w:spacing w:after="40" w:before="40"/>
      </w:pPr>
      <w:r>
        <w:rPr>
          <w:rFonts w:ascii="Arial" w:cs="Arial" w:eastAsia="Arial" w:hAnsi="Arial"/>
          <w:b w:val="false"/>
          <w:bCs w:val="false"/>
          <w:sz w:val="22"/>
          <w:szCs w:val="22"/>
        </w:rPr>
        <w:t xml:space="preserve">High-alert medications and the ISMP High-Alert Medication List</w:t>
      </w:r>
    </w:p>
    <w:p>
      <w:pPr>
        <w:pStyle w:val="ListParagraph"/>
        <w:numPr>
          <w:ilvl w:val="0"/>
          <w:numId w:val="2"/>
        </w:numPr>
        <w:spacing w:after="40" w:before="40"/>
      </w:pPr>
      <w:r>
        <w:rPr>
          <w:rFonts w:ascii="Arial" w:cs="Arial" w:eastAsia="Arial" w:hAnsi="Arial"/>
          <w:b w:val="false"/>
          <w:bCs w:val="false"/>
          <w:sz w:val="22"/>
          <w:szCs w:val="22"/>
        </w:rPr>
        <w:t xml:space="preserve">Look-alike/sound-alike drug pairs and error prevention strategies</w:t>
      </w:r>
    </w:p>
    <w:p>
      <w:pPr>
        <w:pStyle w:val="ListParagraph"/>
        <w:numPr>
          <w:ilvl w:val="0"/>
          <w:numId w:val="2"/>
        </w:numPr>
        <w:spacing w:after="40" w:before="40"/>
      </w:pPr>
      <w:r>
        <w:rPr>
          <w:rFonts w:ascii="Arial" w:cs="Arial" w:eastAsia="Arial" w:hAnsi="Arial"/>
          <w:b w:val="false"/>
          <w:bCs w:val="false"/>
          <w:sz w:val="22"/>
          <w:szCs w:val="22"/>
        </w:rPr>
        <w:t xml:space="preserve">Drug interactions: major clinical examples and monitoring</w:t>
      </w:r>
    </w:p>
    <w:p>
      <w:pPr>
        <w:pStyle w:val="ListParagraph"/>
        <w:numPr>
          <w:ilvl w:val="0"/>
          <w:numId w:val="2"/>
        </w:numPr>
        <w:spacing w:after="40" w:before="40"/>
      </w:pPr>
      <w:r>
        <w:rPr>
          <w:rFonts w:ascii="Arial" w:cs="Arial" w:eastAsia="Arial" w:hAnsi="Arial"/>
          <w:b w:val="false"/>
          <w:bCs w:val="false"/>
          <w:sz w:val="22"/>
          <w:szCs w:val="22"/>
        </w:rPr>
        <w:t xml:space="preserve">Pregnancy categories and special populations</w:t>
      </w:r>
    </w:p>
    <w:p>
      <w:pPr>
        <w:pStyle w:val="ListParagraph"/>
        <w:numPr>
          <w:ilvl w:val="0"/>
          <w:numId w:val="2"/>
        </w:numPr>
        <w:spacing w:after="40" w:before="40"/>
      </w:pPr>
      <w:r>
        <w:rPr>
          <w:rFonts w:ascii="Arial" w:cs="Arial" w:eastAsia="Arial" w:hAnsi="Arial"/>
          <w:b w:val="false"/>
          <w:bCs w:val="false"/>
          <w:sz w:val="22"/>
          <w:szCs w:val="22"/>
        </w:rPr>
        <w:t xml:space="preserve">OTC medications and common supplements</w:t>
      </w:r>
    </w:p>
    <w:p>
      <w:pPr>
        <w:pStyle w:val="ListParagraph"/>
        <w:numPr>
          <w:ilvl w:val="0"/>
          <w:numId w:val="2"/>
        </w:numPr>
        <w:spacing w:after="40" w:before="40"/>
      </w:pPr>
      <w:r>
        <w:rPr>
          <w:rFonts w:ascii="Arial" w:cs="Arial" w:eastAsia="Arial" w:hAnsi="Arial"/>
          <w:b w:val="false"/>
          <w:bCs w:val="false"/>
          <w:sz w:val="22"/>
          <w:szCs w:val="22"/>
        </w:rPr>
        <w:t xml:space="preserve">Black box warnings</w:t>
      </w:r>
    </w:p>
    <w:p>
      <w:pPr>
        <w:spacing w:after="0" w:before="120"/>
      </w:pPr>
      <w:r>
        <w:t xml:space="preserve"/>
      </w:r>
    </w:p>
    <w:p>
      <w:pPr>
        <w:pStyle w:val="Heading2"/>
        <w:spacing w:after="80" w:before="240"/>
      </w:pPr>
      <w:r>
        <w:rPr>
          <w:rFonts w:ascii="Arial" w:cs="Arial" w:eastAsia="Arial" w:hAnsi="Arial"/>
          <w:b/>
          <w:bCs/>
          <w:color w:val="2E75B6"/>
          <w:sz w:val="24"/>
          <w:szCs w:val="24"/>
        </w:rPr>
        <w:t xml:space="preserve">Course 5: Top 200 Medications Mastery  (25 Hours)</w:t>
      </w:r>
    </w:p>
    <w:p>
      <w:pPr>
        <w:spacing w:after="60" w:before="60"/>
      </w:pPr>
      <w:r>
        <w:rPr>
          <w:rFonts w:ascii="Arial" w:cs="Arial" w:eastAsia="Arial" w:hAnsi="Arial"/>
          <w:sz w:val="22"/>
          <w:szCs w:val="22"/>
        </w:rPr>
        <w:t xml:space="preserve">Students will master the top 200 most commonly dispensed medications in the United States, including brand and generic names, drug class, common indications, dosage forms, and key pharmacy considerations. This course directly addresses the Medications domain of the PTCE.</w:t>
      </w:r>
    </w:p>
    <w:p>
      <w:pPr>
        <w:spacing w:after="0" w:before="40"/>
      </w:pPr>
      <w:r>
        <w:t xml:space="preserve"/>
      </w:r>
    </w:p>
    <w:p>
      <w:pPr>
        <w:pStyle w:val="Heading3"/>
        <w:spacing w:after="60" w:before="160"/>
      </w:pPr>
      <w:r>
        <w:rPr>
          <w:rFonts w:ascii="Arial" w:cs="Arial" w:eastAsia="Arial" w:hAnsi="Arial"/>
          <w:b/>
          <w:bCs/>
          <w:color w:val="000000"/>
          <w:sz w:val="22"/>
          <w:szCs w:val="22"/>
        </w:rPr>
        <w:t xml:space="preserve">Learning Objectives</w:t>
      </w:r>
    </w:p>
    <w:p>
      <w:pPr>
        <w:pStyle w:val="ListParagraph"/>
        <w:numPr>
          <w:ilvl w:val="0"/>
          <w:numId w:val="2"/>
        </w:numPr>
        <w:spacing w:after="40" w:before="40"/>
      </w:pPr>
      <w:r>
        <w:rPr>
          <w:rFonts w:ascii="Arial" w:cs="Arial" w:eastAsia="Arial" w:hAnsi="Arial"/>
          <w:b w:val="false"/>
          <w:bCs w:val="false"/>
          <w:sz w:val="22"/>
          <w:szCs w:val="22"/>
        </w:rPr>
        <w:t xml:space="preserve">Identify both brand and generic names for the top 200 dispensed medications</w:t>
      </w:r>
    </w:p>
    <w:p>
      <w:pPr>
        <w:pStyle w:val="ListParagraph"/>
        <w:numPr>
          <w:ilvl w:val="0"/>
          <w:numId w:val="2"/>
        </w:numPr>
        <w:spacing w:after="40" w:before="40"/>
      </w:pPr>
      <w:r>
        <w:rPr>
          <w:rFonts w:ascii="Arial" w:cs="Arial" w:eastAsia="Arial" w:hAnsi="Arial"/>
          <w:b w:val="false"/>
          <w:bCs w:val="false"/>
          <w:sz w:val="22"/>
          <w:szCs w:val="22"/>
        </w:rPr>
        <w:t xml:space="preserve">Classify each medication by drug class and primary indication</w:t>
      </w:r>
    </w:p>
    <w:p>
      <w:pPr>
        <w:pStyle w:val="ListParagraph"/>
        <w:numPr>
          <w:ilvl w:val="0"/>
          <w:numId w:val="2"/>
        </w:numPr>
        <w:spacing w:after="40" w:before="40"/>
      </w:pPr>
      <w:r>
        <w:rPr>
          <w:rFonts w:ascii="Arial" w:cs="Arial" w:eastAsia="Arial" w:hAnsi="Arial"/>
          <w:b w:val="false"/>
          <w:bCs w:val="false"/>
          <w:sz w:val="22"/>
          <w:szCs w:val="22"/>
        </w:rPr>
        <w:t xml:space="preserve">Recall standard dosage forms, routes of administration, and storage requirements</w:t>
      </w:r>
    </w:p>
    <w:p>
      <w:pPr>
        <w:pStyle w:val="ListParagraph"/>
        <w:numPr>
          <w:ilvl w:val="0"/>
          <w:numId w:val="2"/>
        </w:numPr>
        <w:spacing w:after="40" w:before="40"/>
      </w:pPr>
      <w:r>
        <w:rPr>
          <w:rFonts w:ascii="Arial" w:cs="Arial" w:eastAsia="Arial" w:hAnsi="Arial"/>
          <w:b w:val="false"/>
          <w:bCs w:val="false"/>
          <w:sz w:val="22"/>
          <w:szCs w:val="22"/>
        </w:rPr>
        <w:t xml:space="preserve">Apply Top 200 medication knowledge to PTCE-style exam questions</w:t>
      </w:r>
    </w:p>
    <w:p>
      <w:pPr>
        <w:spacing w:after="0" w:before="40"/>
      </w:pPr>
      <w:r>
        <w:t xml:space="preserve"/>
      </w:r>
    </w:p>
    <w:p>
      <w:pPr>
        <w:pStyle w:val="Heading3"/>
        <w:spacing w:after="60" w:before="160"/>
      </w:pPr>
      <w:r>
        <w:rPr>
          <w:rFonts w:ascii="Arial" w:cs="Arial" w:eastAsia="Arial" w:hAnsi="Arial"/>
          <w:b/>
          <w:bCs/>
          <w:color w:val="000000"/>
          <w:sz w:val="22"/>
          <w:szCs w:val="22"/>
        </w:rPr>
        <w:t xml:space="preserve">Topics Covered</w:t>
      </w:r>
    </w:p>
    <w:p>
      <w:pPr>
        <w:pStyle w:val="ListParagraph"/>
        <w:numPr>
          <w:ilvl w:val="0"/>
          <w:numId w:val="2"/>
        </w:numPr>
        <w:spacing w:after="40" w:before="40"/>
      </w:pPr>
      <w:r>
        <w:rPr>
          <w:rFonts w:ascii="Arial" w:cs="Arial" w:eastAsia="Arial" w:hAnsi="Arial"/>
          <w:b w:val="false"/>
          <w:bCs w:val="false"/>
          <w:sz w:val="22"/>
          <w:szCs w:val="22"/>
        </w:rPr>
        <w:t xml:space="preserve">Top 200 medications organized by therapeutic class</w:t>
      </w:r>
    </w:p>
    <w:p>
      <w:pPr>
        <w:pStyle w:val="ListParagraph"/>
        <w:numPr>
          <w:ilvl w:val="0"/>
          <w:numId w:val="2"/>
        </w:numPr>
        <w:spacing w:after="40" w:before="40"/>
      </w:pPr>
      <w:r>
        <w:rPr>
          <w:rFonts w:ascii="Arial" w:cs="Arial" w:eastAsia="Arial" w:hAnsi="Arial"/>
          <w:b w:val="false"/>
          <w:bCs w:val="false"/>
          <w:sz w:val="22"/>
          <w:szCs w:val="22"/>
        </w:rPr>
        <w:t xml:space="preserve">Brand/generic name recognition drills and flashcard review</w:t>
      </w:r>
    </w:p>
    <w:p>
      <w:pPr>
        <w:pStyle w:val="ListParagraph"/>
        <w:numPr>
          <w:ilvl w:val="0"/>
          <w:numId w:val="2"/>
        </w:numPr>
        <w:spacing w:after="40" w:before="40"/>
      </w:pPr>
      <w:r>
        <w:rPr>
          <w:rFonts w:ascii="Arial" w:cs="Arial" w:eastAsia="Arial" w:hAnsi="Arial"/>
          <w:b w:val="false"/>
          <w:bCs w:val="false"/>
          <w:sz w:val="22"/>
          <w:szCs w:val="22"/>
        </w:rPr>
        <w:t xml:space="preserve">Common dosage forms and route of administration for each class</w:t>
      </w:r>
    </w:p>
    <w:p>
      <w:pPr>
        <w:pStyle w:val="ListParagraph"/>
        <w:numPr>
          <w:ilvl w:val="0"/>
          <w:numId w:val="2"/>
        </w:numPr>
        <w:spacing w:after="40" w:before="40"/>
      </w:pPr>
      <w:r>
        <w:rPr>
          <w:rFonts w:ascii="Arial" w:cs="Arial" w:eastAsia="Arial" w:hAnsi="Arial"/>
          <w:b w:val="false"/>
          <w:bCs w:val="false"/>
          <w:sz w:val="22"/>
          <w:szCs w:val="22"/>
        </w:rPr>
        <w:t xml:space="preserve">Storage and handling requirements (refrigeration, light sensitivity, etc.)</w:t>
      </w:r>
    </w:p>
    <w:p>
      <w:pPr>
        <w:pStyle w:val="ListParagraph"/>
        <w:numPr>
          <w:ilvl w:val="0"/>
          <w:numId w:val="2"/>
        </w:numPr>
        <w:spacing w:after="40" w:before="40"/>
      </w:pPr>
      <w:r>
        <w:rPr>
          <w:rFonts w:ascii="Arial" w:cs="Arial" w:eastAsia="Arial" w:hAnsi="Arial"/>
          <w:b w:val="false"/>
          <w:bCs w:val="false"/>
          <w:sz w:val="22"/>
          <w:szCs w:val="22"/>
        </w:rPr>
        <w:t xml:space="preserve">Auxiliary label requirements and dispensing considerations</w:t>
      </w:r>
    </w:p>
    <w:p>
      <w:pPr>
        <w:pStyle w:val="ListParagraph"/>
        <w:numPr>
          <w:ilvl w:val="0"/>
          <w:numId w:val="2"/>
        </w:numPr>
        <w:spacing w:after="40" w:before="40"/>
      </w:pPr>
      <w:r>
        <w:rPr>
          <w:rFonts w:ascii="Arial" w:cs="Arial" w:eastAsia="Arial" w:hAnsi="Arial"/>
          <w:b w:val="false"/>
          <w:bCs w:val="false"/>
          <w:sz w:val="22"/>
          <w:szCs w:val="22"/>
        </w:rPr>
        <w:t xml:space="preserve">Weekly knowledge checks and cumulative medication review assessments</w:t>
      </w:r>
    </w:p>
    <w:p>
      <w:pPr>
        <w:spacing w:after="0" w:before="120"/>
      </w:pPr>
      <w:r>
        <w:t xml:space="preserve"/>
      </w:r>
    </w:p>
    <w:p>
      <w:pPr>
        <w:pStyle w:val="Heading2"/>
        <w:spacing w:after="80" w:before="240"/>
      </w:pPr>
      <w:r>
        <w:rPr>
          <w:rFonts w:ascii="Arial" w:cs="Arial" w:eastAsia="Arial" w:hAnsi="Arial"/>
          <w:b/>
          <w:bCs/>
          <w:color w:val="2E75B6"/>
          <w:sz w:val="24"/>
          <w:szCs w:val="24"/>
        </w:rPr>
        <w:t xml:space="preserve">Course 6: Pharmacy Calculations  (20 Hours)</w:t>
      </w:r>
    </w:p>
    <w:p>
      <w:pPr>
        <w:spacing w:after="60" w:before="60"/>
      </w:pPr>
      <w:r>
        <w:rPr>
          <w:rFonts w:ascii="Arial" w:cs="Arial" w:eastAsia="Arial" w:hAnsi="Arial"/>
          <w:sz w:val="22"/>
          <w:szCs w:val="22"/>
        </w:rPr>
        <w:t xml:space="preserve">This course develops the mathematical competency required for accurate pharmacy dispensing. Students will practice all calculation types tested on the PTCE and required in daily pharmacy operations.</w:t>
      </w:r>
    </w:p>
    <w:p>
      <w:pPr>
        <w:spacing w:after="0" w:before="40"/>
      </w:pPr>
      <w:r>
        <w:t xml:space="preserve"/>
      </w:r>
    </w:p>
    <w:p>
      <w:pPr>
        <w:pStyle w:val="Heading3"/>
        <w:spacing w:after="60" w:before="160"/>
      </w:pPr>
      <w:r>
        <w:rPr>
          <w:rFonts w:ascii="Arial" w:cs="Arial" w:eastAsia="Arial" w:hAnsi="Arial"/>
          <w:b/>
          <w:bCs/>
          <w:color w:val="000000"/>
          <w:sz w:val="22"/>
          <w:szCs w:val="22"/>
        </w:rPr>
        <w:t xml:space="preserve">Learning Objectives</w:t>
      </w:r>
    </w:p>
    <w:p>
      <w:pPr>
        <w:pStyle w:val="ListParagraph"/>
        <w:numPr>
          <w:ilvl w:val="0"/>
          <w:numId w:val="2"/>
        </w:numPr>
        <w:spacing w:after="40" w:before="40"/>
      </w:pPr>
      <w:r>
        <w:rPr>
          <w:rFonts w:ascii="Arial" w:cs="Arial" w:eastAsia="Arial" w:hAnsi="Arial"/>
          <w:b w:val="false"/>
          <w:bCs w:val="false"/>
          <w:sz w:val="22"/>
          <w:szCs w:val="22"/>
        </w:rPr>
        <w:t xml:space="preserve">Perform accurate dosage calculations using ratio-proportion and dimensional analysis methods</w:t>
      </w:r>
    </w:p>
    <w:p>
      <w:pPr>
        <w:pStyle w:val="ListParagraph"/>
        <w:numPr>
          <w:ilvl w:val="0"/>
          <w:numId w:val="2"/>
        </w:numPr>
        <w:spacing w:after="40" w:before="40"/>
      </w:pPr>
      <w:r>
        <w:rPr>
          <w:rFonts w:ascii="Arial" w:cs="Arial" w:eastAsia="Arial" w:hAnsi="Arial"/>
          <w:b w:val="false"/>
          <w:bCs w:val="false"/>
          <w:sz w:val="22"/>
          <w:szCs w:val="22"/>
        </w:rPr>
        <w:t xml:space="preserve">Calculate days supply, quantity to dispense, and percentage strength</w:t>
      </w:r>
    </w:p>
    <w:p>
      <w:pPr>
        <w:pStyle w:val="ListParagraph"/>
        <w:numPr>
          <w:ilvl w:val="0"/>
          <w:numId w:val="2"/>
        </w:numPr>
        <w:spacing w:after="40" w:before="40"/>
      </w:pPr>
      <w:r>
        <w:rPr>
          <w:rFonts w:ascii="Arial" w:cs="Arial" w:eastAsia="Arial" w:hAnsi="Arial"/>
          <w:b w:val="false"/>
          <w:bCs w:val="false"/>
          <w:sz w:val="22"/>
          <w:szCs w:val="22"/>
        </w:rPr>
        <w:t xml:space="preserve">Complete unit conversions within and between metric, apothecary, and household systems</w:t>
      </w:r>
    </w:p>
    <w:p>
      <w:pPr>
        <w:pStyle w:val="ListParagraph"/>
        <w:numPr>
          <w:ilvl w:val="0"/>
          <w:numId w:val="2"/>
        </w:numPr>
        <w:spacing w:after="40" w:before="40"/>
      </w:pPr>
      <w:r>
        <w:rPr>
          <w:rFonts w:ascii="Arial" w:cs="Arial" w:eastAsia="Arial" w:hAnsi="Arial"/>
          <w:b w:val="false"/>
          <w:bCs w:val="false"/>
          <w:sz w:val="22"/>
          <w:szCs w:val="22"/>
        </w:rPr>
        <w:t xml:space="preserve">Calculate IV flow rates and infusion times</w:t>
      </w:r>
    </w:p>
    <w:p>
      <w:pPr>
        <w:pStyle w:val="ListParagraph"/>
        <w:numPr>
          <w:ilvl w:val="0"/>
          <w:numId w:val="2"/>
        </w:numPr>
        <w:spacing w:after="40" w:before="40"/>
      </w:pPr>
      <w:r>
        <w:rPr>
          <w:rFonts w:ascii="Arial" w:cs="Arial" w:eastAsia="Arial" w:hAnsi="Arial"/>
          <w:b w:val="false"/>
          <w:bCs w:val="false"/>
          <w:sz w:val="22"/>
          <w:szCs w:val="22"/>
        </w:rPr>
        <w:t xml:space="preserve">Interpret and apply sig codes accurately</w:t>
      </w:r>
    </w:p>
    <w:p>
      <w:pPr>
        <w:spacing w:after="0" w:before="40"/>
      </w:pPr>
      <w:r>
        <w:t xml:space="preserve"/>
      </w:r>
    </w:p>
    <w:p>
      <w:pPr>
        <w:pStyle w:val="Heading3"/>
        <w:spacing w:after="60" w:before="160"/>
      </w:pPr>
      <w:r>
        <w:rPr>
          <w:rFonts w:ascii="Arial" w:cs="Arial" w:eastAsia="Arial" w:hAnsi="Arial"/>
          <w:b/>
          <w:bCs/>
          <w:color w:val="000000"/>
          <w:sz w:val="22"/>
          <w:szCs w:val="22"/>
        </w:rPr>
        <w:t xml:space="preserve">Topics Covered</w:t>
      </w:r>
    </w:p>
    <w:p>
      <w:pPr>
        <w:pStyle w:val="ListParagraph"/>
        <w:numPr>
          <w:ilvl w:val="0"/>
          <w:numId w:val="2"/>
        </w:numPr>
        <w:spacing w:after="40" w:before="40"/>
      </w:pPr>
      <w:r>
        <w:rPr>
          <w:rFonts w:ascii="Arial" w:cs="Arial" w:eastAsia="Arial" w:hAnsi="Arial"/>
          <w:b w:val="false"/>
          <w:bCs w:val="false"/>
          <w:sz w:val="22"/>
          <w:szCs w:val="22"/>
        </w:rPr>
        <w:t xml:space="preserve">Metric system, apothecary system, and household measurement conversions</w:t>
      </w:r>
    </w:p>
    <w:p>
      <w:pPr>
        <w:pStyle w:val="ListParagraph"/>
        <w:numPr>
          <w:ilvl w:val="0"/>
          <w:numId w:val="2"/>
        </w:numPr>
        <w:spacing w:after="40" w:before="40"/>
      </w:pPr>
      <w:r>
        <w:rPr>
          <w:rFonts w:ascii="Arial" w:cs="Arial" w:eastAsia="Arial" w:hAnsi="Arial"/>
          <w:b w:val="false"/>
          <w:bCs w:val="false"/>
          <w:sz w:val="22"/>
          <w:szCs w:val="22"/>
        </w:rPr>
        <w:t xml:space="preserve">Roman numerals and common pharmacy abbreviations</w:t>
      </w:r>
    </w:p>
    <w:p>
      <w:pPr>
        <w:pStyle w:val="ListParagraph"/>
        <w:numPr>
          <w:ilvl w:val="0"/>
          <w:numId w:val="2"/>
        </w:numPr>
        <w:spacing w:after="40" w:before="40"/>
      </w:pPr>
      <w:r>
        <w:rPr>
          <w:rFonts w:ascii="Arial" w:cs="Arial" w:eastAsia="Arial" w:hAnsi="Arial"/>
          <w:b w:val="false"/>
          <w:bCs w:val="false"/>
          <w:sz w:val="22"/>
          <w:szCs w:val="22"/>
        </w:rPr>
        <w:t xml:space="preserve">Sig code interpretation and prescription reading</w:t>
      </w:r>
    </w:p>
    <w:p>
      <w:pPr>
        <w:pStyle w:val="ListParagraph"/>
        <w:numPr>
          <w:ilvl w:val="0"/>
          <w:numId w:val="2"/>
        </w:numPr>
        <w:spacing w:after="40" w:before="40"/>
      </w:pPr>
      <w:r>
        <w:rPr>
          <w:rFonts w:ascii="Arial" w:cs="Arial" w:eastAsia="Arial" w:hAnsi="Arial"/>
          <w:b w:val="false"/>
          <w:bCs w:val="false"/>
          <w:sz w:val="22"/>
          <w:szCs w:val="22"/>
        </w:rPr>
        <w:t xml:space="preserve">Dosage calculations: tablets, liquids, and injectables</w:t>
      </w:r>
    </w:p>
    <w:p>
      <w:pPr>
        <w:pStyle w:val="ListParagraph"/>
        <w:numPr>
          <w:ilvl w:val="0"/>
          <w:numId w:val="2"/>
        </w:numPr>
        <w:spacing w:after="40" w:before="40"/>
      </w:pPr>
      <w:r>
        <w:rPr>
          <w:rFonts w:ascii="Arial" w:cs="Arial" w:eastAsia="Arial" w:hAnsi="Arial"/>
          <w:b w:val="false"/>
          <w:bCs w:val="false"/>
          <w:sz w:val="22"/>
          <w:szCs w:val="22"/>
        </w:rPr>
        <w:t xml:space="preserve">Body weight and body surface area dosing</w:t>
      </w:r>
    </w:p>
    <w:p>
      <w:pPr>
        <w:pStyle w:val="ListParagraph"/>
        <w:numPr>
          <w:ilvl w:val="0"/>
          <w:numId w:val="2"/>
        </w:numPr>
        <w:spacing w:after="40" w:before="40"/>
      </w:pPr>
      <w:r>
        <w:rPr>
          <w:rFonts w:ascii="Arial" w:cs="Arial" w:eastAsia="Arial" w:hAnsi="Arial"/>
          <w:b w:val="false"/>
          <w:bCs w:val="false"/>
          <w:sz w:val="22"/>
          <w:szCs w:val="22"/>
        </w:rPr>
        <w:t xml:space="preserve">Percentage strength and ratio strength</w:t>
      </w:r>
    </w:p>
    <w:p>
      <w:pPr>
        <w:pStyle w:val="ListParagraph"/>
        <w:numPr>
          <w:ilvl w:val="0"/>
          <w:numId w:val="2"/>
        </w:numPr>
        <w:spacing w:after="40" w:before="40"/>
      </w:pPr>
      <w:r>
        <w:rPr>
          <w:rFonts w:ascii="Arial" w:cs="Arial" w:eastAsia="Arial" w:hAnsi="Arial"/>
          <w:b w:val="false"/>
          <w:bCs w:val="false"/>
          <w:sz w:val="22"/>
          <w:szCs w:val="22"/>
        </w:rPr>
        <w:t xml:space="preserve">Days supply calculations for tablets, liquids, patches, inhalers, and eye drops</w:t>
      </w:r>
    </w:p>
    <w:p>
      <w:pPr>
        <w:pStyle w:val="ListParagraph"/>
        <w:numPr>
          <w:ilvl w:val="0"/>
          <w:numId w:val="2"/>
        </w:numPr>
        <w:spacing w:after="40" w:before="40"/>
      </w:pPr>
      <w:r>
        <w:rPr>
          <w:rFonts w:ascii="Arial" w:cs="Arial" w:eastAsia="Arial" w:hAnsi="Arial"/>
          <w:b w:val="false"/>
          <w:bCs w:val="false"/>
          <w:sz w:val="22"/>
          <w:szCs w:val="22"/>
        </w:rPr>
        <w:t xml:space="preserve">IV flow rate and infusion time calculations</w:t>
      </w:r>
    </w:p>
    <w:p>
      <w:pPr>
        <w:pStyle w:val="ListParagraph"/>
        <w:numPr>
          <w:ilvl w:val="0"/>
          <w:numId w:val="2"/>
        </w:numPr>
        <w:spacing w:after="40" w:before="40"/>
      </w:pPr>
      <w:r>
        <w:rPr>
          <w:rFonts w:ascii="Arial" w:cs="Arial" w:eastAsia="Arial" w:hAnsi="Arial"/>
          <w:b w:val="false"/>
          <w:bCs w:val="false"/>
          <w:sz w:val="22"/>
          <w:szCs w:val="22"/>
        </w:rPr>
        <w:t xml:space="preserve">Powder volume and reconstitution calculations</w:t>
      </w:r>
    </w:p>
    <w:p>
      <w:pPr>
        <w:spacing w:after="0" w:before="120"/>
      </w:pPr>
      <w:r>
        <w:t xml:space="preserve"/>
      </w:r>
    </w:p>
    <w:p>
      <w:pPr>
        <w:pStyle w:val="Heading2"/>
        <w:spacing w:after="80" w:before="240"/>
      </w:pPr>
      <w:r>
        <w:rPr>
          <w:rFonts w:ascii="Arial" w:cs="Arial" w:eastAsia="Arial" w:hAnsi="Arial"/>
          <w:b/>
          <w:bCs/>
          <w:color w:val="2E75B6"/>
          <w:sz w:val="24"/>
          <w:szCs w:val="24"/>
        </w:rPr>
        <w:t xml:space="preserve">Course 7: Prescription Processing and Order Entry  (20 Hours)</w:t>
      </w:r>
    </w:p>
    <w:p>
      <w:pPr>
        <w:spacing w:after="60" w:before="60"/>
      </w:pPr>
      <w:r>
        <w:rPr>
          <w:rFonts w:ascii="Arial" w:cs="Arial" w:eastAsia="Arial" w:hAnsi="Arial"/>
          <w:sz w:val="22"/>
          <w:szCs w:val="22"/>
        </w:rPr>
        <w:t xml:space="preserve">This course covers the end-to-end process of receiving, interpreting, and processing prescription and medication orders in both community and institutional pharmacy settings.</w:t>
      </w:r>
    </w:p>
    <w:p>
      <w:pPr>
        <w:spacing w:after="0" w:before="40"/>
      </w:pPr>
      <w:r>
        <w:t xml:space="preserve"/>
      </w:r>
    </w:p>
    <w:p>
      <w:pPr>
        <w:pStyle w:val="Heading3"/>
        <w:spacing w:after="60" w:before="160"/>
      </w:pPr>
      <w:r>
        <w:rPr>
          <w:rFonts w:ascii="Arial" w:cs="Arial" w:eastAsia="Arial" w:hAnsi="Arial"/>
          <w:b/>
          <w:bCs/>
          <w:color w:val="000000"/>
          <w:sz w:val="22"/>
          <w:szCs w:val="22"/>
        </w:rPr>
        <w:t xml:space="preserve">Learning Objectives</w:t>
      </w:r>
    </w:p>
    <w:p>
      <w:pPr>
        <w:pStyle w:val="ListParagraph"/>
        <w:numPr>
          <w:ilvl w:val="0"/>
          <w:numId w:val="2"/>
        </w:numPr>
        <w:spacing w:after="40" w:before="40"/>
      </w:pPr>
      <w:r>
        <w:rPr>
          <w:rFonts w:ascii="Arial" w:cs="Arial" w:eastAsia="Arial" w:hAnsi="Arial"/>
          <w:b w:val="false"/>
          <w:bCs w:val="false"/>
          <w:sz w:val="22"/>
          <w:szCs w:val="22"/>
        </w:rPr>
        <w:t xml:space="preserve">Identify the required components of a valid prescription</w:t>
      </w:r>
    </w:p>
    <w:p>
      <w:pPr>
        <w:pStyle w:val="ListParagraph"/>
        <w:numPr>
          <w:ilvl w:val="0"/>
          <w:numId w:val="2"/>
        </w:numPr>
        <w:spacing w:after="40" w:before="40"/>
      </w:pPr>
      <w:r>
        <w:rPr>
          <w:rFonts w:ascii="Arial" w:cs="Arial" w:eastAsia="Arial" w:hAnsi="Arial"/>
          <w:b w:val="false"/>
          <w:bCs w:val="false"/>
          <w:sz w:val="22"/>
          <w:szCs w:val="22"/>
        </w:rPr>
        <w:t xml:space="preserve">Interpret sig codes, pharmacy abbreviations, and physician instructions accurately</w:t>
      </w:r>
    </w:p>
    <w:p>
      <w:pPr>
        <w:pStyle w:val="ListParagraph"/>
        <w:numPr>
          <w:ilvl w:val="0"/>
          <w:numId w:val="2"/>
        </w:numPr>
        <w:spacing w:after="40" w:before="40"/>
      </w:pPr>
      <w:r>
        <w:rPr>
          <w:rFonts w:ascii="Arial" w:cs="Arial" w:eastAsia="Arial" w:hAnsi="Arial"/>
          <w:b w:val="false"/>
          <w:bCs w:val="false"/>
          <w:sz w:val="22"/>
          <w:szCs w:val="22"/>
        </w:rPr>
        <w:t xml:space="preserve">Explain the prescription workflow from receipt through dispensing and final verification</w:t>
      </w:r>
    </w:p>
    <w:p>
      <w:pPr>
        <w:pStyle w:val="ListParagraph"/>
        <w:numPr>
          <w:ilvl w:val="0"/>
          <w:numId w:val="2"/>
        </w:numPr>
        <w:spacing w:after="40" w:before="40"/>
      </w:pPr>
      <w:r>
        <w:rPr>
          <w:rFonts w:ascii="Arial" w:cs="Arial" w:eastAsia="Arial" w:hAnsi="Arial"/>
          <w:b w:val="false"/>
          <w:bCs w:val="false"/>
          <w:sz w:val="22"/>
          <w:szCs w:val="22"/>
        </w:rPr>
        <w:t xml:space="preserve">Describe the technician's role in insurance adjudication and prior authorization</w:t>
      </w:r>
    </w:p>
    <w:p>
      <w:pPr>
        <w:pStyle w:val="ListParagraph"/>
        <w:numPr>
          <w:ilvl w:val="0"/>
          <w:numId w:val="2"/>
        </w:numPr>
        <w:spacing w:after="40" w:before="40"/>
      </w:pPr>
      <w:r>
        <w:rPr>
          <w:rFonts w:ascii="Arial" w:cs="Arial" w:eastAsia="Arial" w:hAnsi="Arial"/>
          <w:b w:val="false"/>
          <w:bCs w:val="false"/>
          <w:sz w:val="22"/>
          <w:szCs w:val="22"/>
        </w:rPr>
        <w:t xml:space="preserve">Apply procedures for handling controlled substance prescriptions</w:t>
      </w:r>
    </w:p>
    <w:p>
      <w:pPr>
        <w:spacing w:after="0" w:before="40"/>
      </w:pPr>
      <w:r>
        <w:t xml:space="preserve"/>
      </w:r>
    </w:p>
    <w:p>
      <w:pPr>
        <w:pStyle w:val="Heading3"/>
        <w:spacing w:after="60" w:before="160"/>
      </w:pPr>
      <w:r>
        <w:rPr>
          <w:rFonts w:ascii="Arial" w:cs="Arial" w:eastAsia="Arial" w:hAnsi="Arial"/>
          <w:b/>
          <w:bCs/>
          <w:color w:val="000000"/>
          <w:sz w:val="22"/>
          <w:szCs w:val="22"/>
        </w:rPr>
        <w:t xml:space="preserve">Topics Covered</w:t>
      </w:r>
    </w:p>
    <w:p>
      <w:pPr>
        <w:pStyle w:val="ListParagraph"/>
        <w:numPr>
          <w:ilvl w:val="0"/>
          <w:numId w:val="2"/>
        </w:numPr>
        <w:spacing w:after="40" w:before="40"/>
      </w:pPr>
      <w:r>
        <w:rPr>
          <w:rFonts w:ascii="Arial" w:cs="Arial" w:eastAsia="Arial" w:hAnsi="Arial"/>
          <w:b w:val="false"/>
          <w:bCs w:val="false"/>
          <w:sz w:val="22"/>
          <w:szCs w:val="22"/>
        </w:rPr>
        <w:t xml:space="preserve">Components of a valid prescription and medication order</w:t>
      </w:r>
    </w:p>
    <w:p>
      <w:pPr>
        <w:pStyle w:val="ListParagraph"/>
        <w:numPr>
          <w:ilvl w:val="0"/>
          <w:numId w:val="2"/>
        </w:numPr>
        <w:spacing w:after="40" w:before="40"/>
      </w:pPr>
      <w:r>
        <w:rPr>
          <w:rFonts w:ascii="Arial" w:cs="Arial" w:eastAsia="Arial" w:hAnsi="Arial"/>
          <w:b w:val="false"/>
          <w:bCs w:val="false"/>
          <w:sz w:val="22"/>
          <w:szCs w:val="22"/>
        </w:rPr>
        <w:t xml:space="preserve">Common pharmacy abbreviations and sig codes</w:t>
      </w:r>
    </w:p>
    <w:p>
      <w:pPr>
        <w:pStyle w:val="ListParagraph"/>
        <w:numPr>
          <w:ilvl w:val="0"/>
          <w:numId w:val="2"/>
        </w:numPr>
        <w:spacing w:after="40" w:before="40"/>
      </w:pPr>
      <w:r>
        <w:rPr>
          <w:rFonts w:ascii="Arial" w:cs="Arial" w:eastAsia="Arial" w:hAnsi="Arial"/>
          <w:b w:val="false"/>
          <w:bCs w:val="false"/>
          <w:sz w:val="22"/>
          <w:szCs w:val="22"/>
        </w:rPr>
        <w:t xml:space="preserve">Prescription intake: new prescriptions, refills, and transfers</w:t>
      </w:r>
    </w:p>
    <w:p>
      <w:pPr>
        <w:pStyle w:val="ListParagraph"/>
        <w:numPr>
          <w:ilvl w:val="0"/>
          <w:numId w:val="2"/>
        </w:numPr>
        <w:spacing w:after="40" w:before="40"/>
      </w:pPr>
      <w:r>
        <w:rPr>
          <w:rFonts w:ascii="Arial" w:cs="Arial" w:eastAsia="Arial" w:hAnsi="Arial"/>
          <w:b w:val="false"/>
          <w:bCs w:val="false"/>
          <w:sz w:val="22"/>
          <w:szCs w:val="22"/>
        </w:rPr>
        <w:t xml:space="preserve">Data entry and order entry workflow</w:t>
      </w:r>
    </w:p>
    <w:p>
      <w:pPr>
        <w:pStyle w:val="ListParagraph"/>
        <w:numPr>
          <w:ilvl w:val="0"/>
          <w:numId w:val="2"/>
        </w:numPr>
        <w:spacing w:after="40" w:before="40"/>
      </w:pPr>
      <w:r>
        <w:rPr>
          <w:rFonts w:ascii="Arial" w:cs="Arial" w:eastAsia="Arial" w:hAnsi="Arial"/>
          <w:b w:val="false"/>
          <w:bCs w:val="false"/>
          <w:sz w:val="22"/>
          <w:szCs w:val="22"/>
        </w:rPr>
        <w:t xml:space="preserve">Insurance billing, third-party adjudication, and resolving claim rejections</w:t>
      </w:r>
    </w:p>
    <w:p>
      <w:pPr>
        <w:pStyle w:val="ListParagraph"/>
        <w:numPr>
          <w:ilvl w:val="0"/>
          <w:numId w:val="2"/>
        </w:numPr>
        <w:spacing w:after="40" w:before="40"/>
      </w:pPr>
      <w:r>
        <w:rPr>
          <w:rFonts w:ascii="Arial" w:cs="Arial" w:eastAsia="Arial" w:hAnsi="Arial"/>
          <w:b w:val="false"/>
          <w:bCs w:val="false"/>
          <w:sz w:val="22"/>
          <w:szCs w:val="22"/>
        </w:rPr>
        <w:t xml:space="preserve">Prior authorization procedures</w:t>
      </w:r>
    </w:p>
    <w:p>
      <w:pPr>
        <w:pStyle w:val="ListParagraph"/>
        <w:numPr>
          <w:ilvl w:val="0"/>
          <w:numId w:val="2"/>
        </w:numPr>
        <w:spacing w:after="40" w:before="40"/>
      </w:pPr>
      <w:r>
        <w:rPr>
          <w:rFonts w:ascii="Arial" w:cs="Arial" w:eastAsia="Arial" w:hAnsi="Arial"/>
          <w:b w:val="false"/>
          <w:bCs w:val="false"/>
          <w:sz w:val="22"/>
          <w:szCs w:val="22"/>
        </w:rPr>
        <w:t xml:space="preserve">Controlled substance prescription requirements by DEA schedule</w:t>
      </w:r>
    </w:p>
    <w:p>
      <w:pPr>
        <w:pStyle w:val="ListParagraph"/>
        <w:numPr>
          <w:ilvl w:val="0"/>
          <w:numId w:val="2"/>
        </w:numPr>
        <w:spacing w:after="40" w:before="40"/>
      </w:pPr>
      <w:r>
        <w:rPr>
          <w:rFonts w:ascii="Arial" w:cs="Arial" w:eastAsia="Arial" w:hAnsi="Arial"/>
          <w:b w:val="false"/>
          <w:bCs w:val="false"/>
          <w:sz w:val="22"/>
          <w:szCs w:val="22"/>
        </w:rPr>
        <w:t xml:space="preserve">Compounding versus non-compounding prescription handling</w:t>
      </w:r>
    </w:p>
    <w:p>
      <w:pPr>
        <w:pStyle w:val="ListParagraph"/>
        <w:numPr>
          <w:ilvl w:val="0"/>
          <w:numId w:val="2"/>
        </w:numPr>
        <w:spacing w:after="40" w:before="40"/>
      </w:pPr>
      <w:r>
        <w:rPr>
          <w:rFonts w:ascii="Arial" w:cs="Arial" w:eastAsia="Arial" w:hAnsi="Arial"/>
          <w:b w:val="false"/>
          <w:bCs w:val="false"/>
          <w:sz w:val="22"/>
          <w:szCs w:val="22"/>
        </w:rPr>
        <w:t xml:space="preserve">Automated dispensing systems and robotic dispensing technology</w:t>
      </w:r>
    </w:p>
    <w:p>
      <w:pPr>
        <w:pStyle w:val="ListParagraph"/>
        <w:numPr>
          <w:ilvl w:val="0"/>
          <w:numId w:val="2"/>
        </w:numPr>
        <w:spacing w:after="40" w:before="40"/>
      </w:pPr>
      <w:r>
        <w:rPr>
          <w:rFonts w:ascii="Arial" w:cs="Arial" w:eastAsia="Arial" w:hAnsi="Arial"/>
          <w:b w:val="false"/>
          <w:bCs w:val="false"/>
          <w:sz w:val="22"/>
          <w:szCs w:val="22"/>
        </w:rPr>
        <w:t xml:space="preserve">Final verification and pharmacist check procedures</w:t>
      </w:r>
    </w:p>
    <w:p>
      <w:pPr>
        <w:spacing w:after="0" w:before="120"/>
      </w:pPr>
      <w:r>
        <w:t xml:space="preserve"/>
      </w:r>
    </w:p>
    <w:p>
      <w:pPr>
        <w:pStyle w:val="Heading2"/>
        <w:spacing w:after="80" w:before="240"/>
      </w:pPr>
      <w:r>
        <w:rPr>
          <w:rFonts w:ascii="Arial" w:cs="Arial" w:eastAsia="Arial" w:hAnsi="Arial"/>
          <w:b/>
          <w:bCs/>
          <w:color w:val="2E75B6"/>
          <w:sz w:val="24"/>
          <w:szCs w:val="24"/>
        </w:rPr>
        <w:t xml:space="preserve">Course 8: Patient Safety and Quality Assurance  (25 Hours)</w:t>
      </w:r>
    </w:p>
    <w:p>
      <w:pPr>
        <w:spacing w:after="60" w:before="60"/>
      </w:pPr>
      <w:r>
        <w:rPr>
          <w:rFonts w:ascii="Arial" w:cs="Arial" w:eastAsia="Arial" w:hAnsi="Arial"/>
          <w:sz w:val="22"/>
          <w:szCs w:val="22"/>
        </w:rPr>
        <w:t xml:space="preserve">This course addresses medication safety systems, error prevention strategies, and quality assurance practices that protect patients and meet regulatory standards. This content aligns with the largest weighted domain of the 2026 PTCE.</w:t>
      </w:r>
    </w:p>
    <w:p>
      <w:pPr>
        <w:spacing w:after="0" w:before="40"/>
      </w:pPr>
      <w:r>
        <w:t xml:space="preserve"/>
      </w:r>
    </w:p>
    <w:p>
      <w:pPr>
        <w:pStyle w:val="Heading3"/>
        <w:spacing w:after="60" w:before="160"/>
      </w:pPr>
      <w:r>
        <w:rPr>
          <w:rFonts w:ascii="Arial" w:cs="Arial" w:eastAsia="Arial" w:hAnsi="Arial"/>
          <w:b/>
          <w:bCs/>
          <w:color w:val="000000"/>
          <w:sz w:val="22"/>
          <w:szCs w:val="22"/>
        </w:rPr>
        <w:t xml:space="preserve">Learning Objectives</w:t>
      </w:r>
    </w:p>
    <w:p>
      <w:pPr>
        <w:pStyle w:val="ListParagraph"/>
        <w:numPr>
          <w:ilvl w:val="0"/>
          <w:numId w:val="2"/>
        </w:numPr>
        <w:spacing w:after="40" w:before="40"/>
      </w:pPr>
      <w:r>
        <w:rPr>
          <w:rFonts w:ascii="Arial" w:cs="Arial" w:eastAsia="Arial" w:hAnsi="Arial"/>
          <w:b w:val="false"/>
          <w:bCs w:val="false"/>
          <w:sz w:val="22"/>
          <w:szCs w:val="22"/>
        </w:rPr>
        <w:t xml:space="preserve">Apply error prevention strategies including STAR (Stop, Think, Act, Review) and barcode verification</w:t>
      </w:r>
    </w:p>
    <w:p>
      <w:pPr>
        <w:pStyle w:val="ListParagraph"/>
        <w:numPr>
          <w:ilvl w:val="0"/>
          <w:numId w:val="2"/>
        </w:numPr>
        <w:spacing w:after="40" w:before="40"/>
      </w:pPr>
      <w:r>
        <w:rPr>
          <w:rFonts w:ascii="Arial" w:cs="Arial" w:eastAsia="Arial" w:hAnsi="Arial"/>
          <w:b w:val="false"/>
          <w:bCs w:val="false"/>
          <w:sz w:val="22"/>
          <w:szCs w:val="22"/>
        </w:rPr>
        <w:t xml:space="preserve">Identify the root causes of medication errors and explain steps to prevent recurrence</w:t>
      </w:r>
    </w:p>
    <w:p>
      <w:pPr>
        <w:pStyle w:val="ListParagraph"/>
        <w:numPr>
          <w:ilvl w:val="0"/>
          <w:numId w:val="2"/>
        </w:numPr>
        <w:spacing w:after="40" w:before="40"/>
      </w:pPr>
      <w:r>
        <w:rPr>
          <w:rFonts w:ascii="Arial" w:cs="Arial" w:eastAsia="Arial" w:hAnsi="Arial"/>
          <w:b w:val="false"/>
          <w:bCs w:val="false"/>
          <w:sz w:val="22"/>
          <w:szCs w:val="22"/>
        </w:rPr>
        <w:t xml:space="preserve">Describe the role of ISMP, USP, and The Joint Commission in promoting medication safety</w:t>
      </w:r>
    </w:p>
    <w:p>
      <w:pPr>
        <w:pStyle w:val="ListParagraph"/>
        <w:numPr>
          <w:ilvl w:val="0"/>
          <w:numId w:val="2"/>
        </w:numPr>
        <w:spacing w:after="40" w:before="40"/>
      </w:pPr>
      <w:r>
        <w:rPr>
          <w:rFonts w:ascii="Arial" w:cs="Arial" w:eastAsia="Arial" w:hAnsi="Arial"/>
          <w:b w:val="false"/>
          <w:bCs w:val="false"/>
          <w:sz w:val="22"/>
          <w:szCs w:val="22"/>
        </w:rPr>
        <w:t xml:space="preserve">Explain quality assurance processes and continuous improvement in pharmacy operations</w:t>
      </w:r>
    </w:p>
    <w:p>
      <w:pPr>
        <w:pStyle w:val="ListParagraph"/>
        <w:numPr>
          <w:ilvl w:val="0"/>
          <w:numId w:val="2"/>
        </w:numPr>
        <w:spacing w:after="40" w:before="40"/>
      </w:pPr>
      <w:r>
        <w:rPr>
          <w:rFonts w:ascii="Arial" w:cs="Arial" w:eastAsia="Arial" w:hAnsi="Arial"/>
          <w:b w:val="false"/>
          <w:bCs w:val="false"/>
          <w:sz w:val="22"/>
          <w:szCs w:val="22"/>
        </w:rPr>
        <w:t xml:space="preserve">Recognize and report adverse drug events and near-misses</w:t>
      </w:r>
    </w:p>
    <w:p>
      <w:pPr>
        <w:spacing w:after="0" w:before="40"/>
      </w:pPr>
      <w:r>
        <w:t xml:space="preserve"/>
      </w:r>
    </w:p>
    <w:p>
      <w:pPr>
        <w:pStyle w:val="Heading3"/>
        <w:spacing w:after="60" w:before="160"/>
      </w:pPr>
      <w:r>
        <w:rPr>
          <w:rFonts w:ascii="Arial" w:cs="Arial" w:eastAsia="Arial" w:hAnsi="Arial"/>
          <w:b/>
          <w:bCs/>
          <w:color w:val="000000"/>
          <w:sz w:val="22"/>
          <w:szCs w:val="22"/>
        </w:rPr>
        <w:t xml:space="preserve">Topics Covered</w:t>
      </w:r>
    </w:p>
    <w:p>
      <w:pPr>
        <w:pStyle w:val="ListParagraph"/>
        <w:numPr>
          <w:ilvl w:val="0"/>
          <w:numId w:val="2"/>
        </w:numPr>
        <w:spacing w:after="40" w:before="40"/>
      </w:pPr>
      <w:r>
        <w:rPr>
          <w:rFonts w:ascii="Arial" w:cs="Arial" w:eastAsia="Arial" w:hAnsi="Arial"/>
          <w:b w:val="false"/>
          <w:bCs w:val="false"/>
          <w:sz w:val="22"/>
          <w:szCs w:val="22"/>
        </w:rPr>
        <w:t xml:space="preserve">Medication error types: prescribing, dispensing, administration, and monitoring errors</w:t>
      </w:r>
    </w:p>
    <w:p>
      <w:pPr>
        <w:pStyle w:val="ListParagraph"/>
        <w:numPr>
          <w:ilvl w:val="0"/>
          <w:numId w:val="2"/>
        </w:numPr>
        <w:spacing w:after="40" w:before="40"/>
      </w:pPr>
      <w:r>
        <w:rPr>
          <w:rFonts w:ascii="Arial" w:cs="Arial" w:eastAsia="Arial" w:hAnsi="Arial"/>
          <w:b w:val="false"/>
          <w:bCs w:val="false"/>
          <w:sz w:val="22"/>
          <w:szCs w:val="22"/>
        </w:rPr>
        <w:t xml:space="preserve">ISMP high-alert medications and safety strategies</w:t>
      </w:r>
    </w:p>
    <w:p>
      <w:pPr>
        <w:pStyle w:val="ListParagraph"/>
        <w:numPr>
          <w:ilvl w:val="0"/>
          <w:numId w:val="2"/>
        </w:numPr>
        <w:spacing w:after="40" w:before="40"/>
      </w:pPr>
      <w:r>
        <w:rPr>
          <w:rFonts w:ascii="Arial" w:cs="Arial" w:eastAsia="Arial" w:hAnsi="Arial"/>
          <w:b w:val="false"/>
          <w:bCs w:val="false"/>
          <w:sz w:val="22"/>
          <w:szCs w:val="22"/>
        </w:rPr>
        <w:t xml:space="preserve">Look-alike/sound-alike (LASA) drug safety and ISMP LASA list</w:t>
      </w:r>
    </w:p>
    <w:p>
      <w:pPr>
        <w:pStyle w:val="ListParagraph"/>
        <w:numPr>
          <w:ilvl w:val="0"/>
          <w:numId w:val="2"/>
        </w:numPr>
        <w:spacing w:after="40" w:before="40"/>
      </w:pPr>
      <w:r>
        <w:rPr>
          <w:rFonts w:ascii="Arial" w:cs="Arial" w:eastAsia="Arial" w:hAnsi="Arial"/>
          <w:b w:val="false"/>
          <w:bCs w:val="false"/>
          <w:sz w:val="22"/>
          <w:szCs w:val="22"/>
        </w:rPr>
        <w:t xml:space="preserve">Barcode medication administration (BCMA) and NDC verification</w:t>
      </w:r>
    </w:p>
    <w:p>
      <w:pPr>
        <w:pStyle w:val="ListParagraph"/>
        <w:numPr>
          <w:ilvl w:val="0"/>
          <w:numId w:val="2"/>
        </w:numPr>
        <w:spacing w:after="40" w:before="40"/>
      </w:pPr>
      <w:r>
        <w:rPr>
          <w:rFonts w:ascii="Arial" w:cs="Arial" w:eastAsia="Arial" w:hAnsi="Arial"/>
          <w:b w:val="false"/>
          <w:bCs w:val="false"/>
          <w:sz w:val="22"/>
          <w:szCs w:val="22"/>
        </w:rPr>
        <w:t xml:space="preserve">STAR error prevention protocol</w:t>
      </w:r>
    </w:p>
    <w:p>
      <w:pPr>
        <w:pStyle w:val="ListParagraph"/>
        <w:numPr>
          <w:ilvl w:val="0"/>
          <w:numId w:val="2"/>
        </w:numPr>
        <w:spacing w:after="40" w:before="40"/>
      </w:pPr>
      <w:r>
        <w:rPr>
          <w:rFonts w:ascii="Arial" w:cs="Arial" w:eastAsia="Arial" w:hAnsi="Arial"/>
          <w:b w:val="false"/>
          <w:bCs w:val="false"/>
          <w:sz w:val="22"/>
          <w:szCs w:val="22"/>
        </w:rPr>
        <w:t xml:space="preserve">Tall man lettering and label safety standards</w:t>
      </w:r>
    </w:p>
    <w:p>
      <w:pPr>
        <w:pStyle w:val="ListParagraph"/>
        <w:numPr>
          <w:ilvl w:val="0"/>
          <w:numId w:val="2"/>
        </w:numPr>
        <w:spacing w:after="40" w:before="40"/>
      </w:pPr>
      <w:r>
        <w:rPr>
          <w:rFonts w:ascii="Arial" w:cs="Arial" w:eastAsia="Arial" w:hAnsi="Arial"/>
          <w:b w:val="false"/>
          <w:bCs w:val="false"/>
          <w:sz w:val="22"/>
          <w:szCs w:val="22"/>
        </w:rPr>
        <w:t xml:space="preserve">Adverse drug event (ADE) reporting: MedWatch, VAERS</w:t>
      </w:r>
    </w:p>
    <w:p>
      <w:pPr>
        <w:pStyle w:val="ListParagraph"/>
        <w:numPr>
          <w:ilvl w:val="0"/>
          <w:numId w:val="2"/>
        </w:numPr>
        <w:spacing w:after="40" w:before="40"/>
      </w:pPr>
      <w:r>
        <w:rPr>
          <w:rFonts w:ascii="Arial" w:cs="Arial" w:eastAsia="Arial" w:hAnsi="Arial"/>
          <w:b w:val="false"/>
          <w:bCs w:val="false"/>
          <w:sz w:val="22"/>
          <w:szCs w:val="22"/>
        </w:rPr>
        <w:t xml:space="preserve">USP standards and beyond-use dating</w:t>
      </w:r>
    </w:p>
    <w:p>
      <w:pPr>
        <w:pStyle w:val="ListParagraph"/>
        <w:numPr>
          <w:ilvl w:val="0"/>
          <w:numId w:val="2"/>
        </w:numPr>
        <w:spacing w:after="40" w:before="40"/>
      </w:pPr>
      <w:r>
        <w:rPr>
          <w:rFonts w:ascii="Arial" w:cs="Arial" w:eastAsia="Arial" w:hAnsi="Arial"/>
          <w:b w:val="false"/>
          <w:bCs w:val="false"/>
          <w:sz w:val="22"/>
          <w:szCs w:val="22"/>
        </w:rPr>
        <w:t xml:space="preserve">Quality assurance audits and pharmacy workflow best practices</w:t>
      </w:r>
    </w:p>
    <w:p>
      <w:pPr>
        <w:pStyle w:val="ListParagraph"/>
        <w:numPr>
          <w:ilvl w:val="0"/>
          <w:numId w:val="2"/>
        </w:numPr>
        <w:spacing w:after="40" w:before="40"/>
      </w:pPr>
      <w:r>
        <w:rPr>
          <w:rFonts w:ascii="Arial" w:cs="Arial" w:eastAsia="Arial" w:hAnsi="Arial"/>
          <w:b w:val="false"/>
          <w:bCs w:val="false"/>
          <w:sz w:val="22"/>
          <w:szCs w:val="22"/>
        </w:rPr>
        <w:t xml:space="preserve">Safe handling of hazardous drugs (NIOSH guidelines)</w:t>
      </w:r>
    </w:p>
    <w:p>
      <w:pPr>
        <w:spacing w:after="0" w:before="120"/>
      </w:pPr>
      <w:r>
        <w:t xml:space="preserve"/>
      </w:r>
    </w:p>
    <w:p>
      <w:pPr>
        <w:pStyle w:val="Heading2"/>
        <w:spacing w:after="80" w:before="240"/>
      </w:pPr>
      <w:r>
        <w:rPr>
          <w:rFonts w:ascii="Arial" w:cs="Arial" w:eastAsia="Arial" w:hAnsi="Arial"/>
          <w:b/>
          <w:bCs/>
          <w:color w:val="2E75B6"/>
          <w:sz w:val="24"/>
          <w:szCs w:val="24"/>
        </w:rPr>
        <w:t xml:space="preserve">Course 9: PTCE Exam Preparation and Capstone  (14 Hours)</w:t>
      </w:r>
    </w:p>
    <w:p>
      <w:pPr>
        <w:spacing w:after="60" w:before="60"/>
      </w:pPr>
      <w:r>
        <w:rPr>
          <w:rFonts w:ascii="Arial" w:cs="Arial" w:eastAsia="Arial" w:hAnsi="Arial"/>
          <w:sz w:val="22"/>
          <w:szCs w:val="22"/>
        </w:rPr>
        <w:t xml:space="preserve">This final course prepares students for successful performance on the PTCE through comprehensive review, timed practice exams, and a structured capstone assessment. Students will identify knowledge gaps, develop test-taking strategies, and build exam-day confidence.</w:t>
      </w:r>
    </w:p>
    <w:p>
      <w:pPr>
        <w:spacing w:after="0" w:before="40"/>
      </w:pPr>
      <w:r>
        <w:t xml:space="preserve"/>
      </w:r>
    </w:p>
    <w:p>
      <w:pPr>
        <w:pStyle w:val="Heading3"/>
        <w:spacing w:after="60" w:before="160"/>
      </w:pPr>
      <w:r>
        <w:rPr>
          <w:rFonts w:ascii="Arial" w:cs="Arial" w:eastAsia="Arial" w:hAnsi="Arial"/>
          <w:b/>
          <w:bCs/>
          <w:color w:val="000000"/>
          <w:sz w:val="22"/>
          <w:szCs w:val="22"/>
        </w:rPr>
        <w:t xml:space="preserve">Learning Objectives</w:t>
      </w:r>
    </w:p>
    <w:p>
      <w:pPr>
        <w:pStyle w:val="ListParagraph"/>
        <w:numPr>
          <w:ilvl w:val="0"/>
          <w:numId w:val="2"/>
        </w:numPr>
        <w:spacing w:after="40" w:before="40"/>
      </w:pPr>
      <w:r>
        <w:rPr>
          <w:rFonts w:ascii="Arial" w:cs="Arial" w:eastAsia="Arial" w:hAnsi="Arial"/>
          <w:b w:val="false"/>
          <w:bCs w:val="false"/>
          <w:sz w:val="22"/>
          <w:szCs w:val="22"/>
        </w:rPr>
        <w:t xml:space="preserve">Demonstrate mastery across all four 2026 PTCE knowledge domains</w:t>
      </w:r>
    </w:p>
    <w:p>
      <w:pPr>
        <w:pStyle w:val="ListParagraph"/>
        <w:numPr>
          <w:ilvl w:val="0"/>
          <w:numId w:val="2"/>
        </w:numPr>
        <w:spacing w:after="40" w:before="40"/>
      </w:pPr>
      <w:r>
        <w:rPr>
          <w:rFonts w:ascii="Arial" w:cs="Arial" w:eastAsia="Arial" w:hAnsi="Arial"/>
          <w:b w:val="false"/>
          <w:bCs w:val="false"/>
          <w:sz w:val="22"/>
          <w:szCs w:val="22"/>
        </w:rPr>
        <w:t xml:space="preserve">Apply test-taking strategies to PTCE-style multiple choice questions</w:t>
      </w:r>
    </w:p>
    <w:p>
      <w:pPr>
        <w:pStyle w:val="ListParagraph"/>
        <w:numPr>
          <w:ilvl w:val="0"/>
          <w:numId w:val="2"/>
        </w:numPr>
        <w:spacing w:after="40" w:before="40"/>
      </w:pPr>
      <w:r>
        <w:rPr>
          <w:rFonts w:ascii="Arial" w:cs="Arial" w:eastAsia="Arial" w:hAnsi="Arial"/>
          <w:b w:val="false"/>
          <w:bCs w:val="false"/>
          <w:sz w:val="22"/>
          <w:szCs w:val="22"/>
        </w:rPr>
        <w:t xml:space="preserve">Complete timed full-length practice examinations under exam conditions</w:t>
      </w:r>
    </w:p>
    <w:p>
      <w:pPr>
        <w:pStyle w:val="ListParagraph"/>
        <w:numPr>
          <w:ilvl w:val="0"/>
          <w:numId w:val="2"/>
        </w:numPr>
        <w:spacing w:after="40" w:before="40"/>
      </w:pPr>
      <w:r>
        <w:rPr>
          <w:rFonts w:ascii="Arial" w:cs="Arial" w:eastAsia="Arial" w:hAnsi="Arial"/>
          <w:b w:val="false"/>
          <w:bCs w:val="false"/>
          <w:sz w:val="22"/>
          <w:szCs w:val="22"/>
        </w:rPr>
        <w:t xml:space="preserve">Identify and remediate remaining knowledge gaps prior to scheduling the PTCE</w:t>
      </w:r>
    </w:p>
    <w:p>
      <w:pPr>
        <w:pStyle w:val="ListParagraph"/>
        <w:numPr>
          <w:ilvl w:val="0"/>
          <w:numId w:val="2"/>
        </w:numPr>
        <w:spacing w:after="40" w:before="40"/>
      </w:pPr>
      <w:r>
        <w:rPr>
          <w:rFonts w:ascii="Arial" w:cs="Arial" w:eastAsia="Arial" w:hAnsi="Arial"/>
          <w:b w:val="false"/>
          <w:bCs w:val="false"/>
          <w:sz w:val="22"/>
          <w:szCs w:val="22"/>
        </w:rPr>
        <w:t xml:space="preserve">Navigate PTCB registration, scheduling, and identification requirements</w:t>
      </w:r>
    </w:p>
    <w:p>
      <w:pPr>
        <w:spacing w:after="0" w:before="40"/>
      </w:pPr>
      <w:r>
        <w:t xml:space="preserve"/>
      </w:r>
    </w:p>
    <w:p>
      <w:pPr>
        <w:pStyle w:val="Heading3"/>
        <w:spacing w:after="60" w:before="160"/>
      </w:pPr>
      <w:r>
        <w:rPr>
          <w:rFonts w:ascii="Arial" w:cs="Arial" w:eastAsia="Arial" w:hAnsi="Arial"/>
          <w:b/>
          <w:bCs/>
          <w:color w:val="000000"/>
          <w:sz w:val="22"/>
          <w:szCs w:val="22"/>
        </w:rPr>
        <w:t xml:space="preserve">Topics Covered</w:t>
      </w:r>
    </w:p>
    <w:p>
      <w:pPr>
        <w:pStyle w:val="ListParagraph"/>
        <w:numPr>
          <w:ilvl w:val="0"/>
          <w:numId w:val="2"/>
        </w:numPr>
        <w:spacing w:after="40" w:before="40"/>
      </w:pPr>
      <w:r>
        <w:rPr>
          <w:rFonts w:ascii="Arial" w:cs="Arial" w:eastAsia="Arial" w:hAnsi="Arial"/>
          <w:b w:val="false"/>
          <w:bCs w:val="false"/>
          <w:sz w:val="22"/>
          <w:szCs w:val="22"/>
        </w:rPr>
        <w:t xml:space="preserve">Comprehensive review: Medications, Federal Requirements, Patient Safety, Order Entry</w:t>
      </w:r>
    </w:p>
    <w:p>
      <w:pPr>
        <w:pStyle w:val="ListParagraph"/>
        <w:numPr>
          <w:ilvl w:val="0"/>
          <w:numId w:val="2"/>
        </w:numPr>
        <w:spacing w:after="40" w:before="40"/>
      </w:pPr>
      <w:r>
        <w:rPr>
          <w:rFonts w:ascii="Arial" w:cs="Arial" w:eastAsia="Arial" w:hAnsi="Arial"/>
          <w:b w:val="false"/>
          <w:bCs w:val="false"/>
          <w:sz w:val="22"/>
          <w:szCs w:val="22"/>
        </w:rPr>
        <w:t xml:space="preserve">Domain-by-domain rapid review sessions</w:t>
      </w:r>
    </w:p>
    <w:p>
      <w:pPr>
        <w:pStyle w:val="ListParagraph"/>
        <w:numPr>
          <w:ilvl w:val="0"/>
          <w:numId w:val="2"/>
        </w:numPr>
        <w:spacing w:after="40" w:before="40"/>
      </w:pPr>
      <w:r>
        <w:rPr>
          <w:rFonts w:ascii="Arial" w:cs="Arial" w:eastAsia="Arial" w:hAnsi="Arial"/>
          <w:b w:val="false"/>
          <w:bCs w:val="false"/>
          <w:sz w:val="22"/>
          <w:szCs w:val="22"/>
        </w:rPr>
        <w:t xml:space="preserve">Timed full-length PTCE practice exams (x2)</w:t>
      </w:r>
    </w:p>
    <w:p>
      <w:pPr>
        <w:pStyle w:val="ListParagraph"/>
        <w:numPr>
          <w:ilvl w:val="0"/>
          <w:numId w:val="2"/>
        </w:numPr>
        <w:spacing w:after="40" w:before="40"/>
      </w:pPr>
      <w:r>
        <w:rPr>
          <w:rFonts w:ascii="Arial" w:cs="Arial" w:eastAsia="Arial" w:hAnsi="Arial"/>
          <w:b w:val="false"/>
          <w:bCs w:val="false"/>
          <w:sz w:val="22"/>
          <w:szCs w:val="22"/>
        </w:rPr>
        <w:t xml:space="preserve">Answer explanation reviews and performance analytics</w:t>
      </w:r>
    </w:p>
    <w:p>
      <w:pPr>
        <w:pStyle w:val="ListParagraph"/>
        <w:numPr>
          <w:ilvl w:val="0"/>
          <w:numId w:val="2"/>
        </w:numPr>
        <w:spacing w:after="40" w:before="40"/>
      </w:pPr>
      <w:r>
        <w:rPr>
          <w:rFonts w:ascii="Arial" w:cs="Arial" w:eastAsia="Arial" w:hAnsi="Arial"/>
          <w:b w:val="false"/>
          <w:bCs w:val="false"/>
          <w:sz w:val="22"/>
          <w:szCs w:val="22"/>
        </w:rPr>
        <w:t xml:space="preserve">Top 200 medications cumulative final review</w:t>
      </w:r>
    </w:p>
    <w:p>
      <w:pPr>
        <w:pStyle w:val="ListParagraph"/>
        <w:numPr>
          <w:ilvl w:val="0"/>
          <w:numId w:val="2"/>
        </w:numPr>
        <w:spacing w:after="40" w:before="40"/>
      </w:pPr>
      <w:r>
        <w:rPr>
          <w:rFonts w:ascii="Arial" w:cs="Arial" w:eastAsia="Arial" w:hAnsi="Arial"/>
          <w:b w:val="false"/>
          <w:bCs w:val="false"/>
          <w:sz w:val="22"/>
          <w:szCs w:val="22"/>
        </w:rPr>
        <w:t xml:space="preserve">PTCB exam registration and scheduling walkthrough</w:t>
      </w:r>
    </w:p>
    <w:p>
      <w:pPr>
        <w:pStyle w:val="ListParagraph"/>
        <w:numPr>
          <w:ilvl w:val="0"/>
          <w:numId w:val="2"/>
        </w:numPr>
        <w:spacing w:after="40" w:before="40"/>
      </w:pPr>
      <w:r>
        <w:rPr>
          <w:rFonts w:ascii="Arial" w:cs="Arial" w:eastAsia="Arial" w:hAnsi="Arial"/>
          <w:b w:val="false"/>
          <w:bCs w:val="false"/>
          <w:sz w:val="22"/>
          <w:szCs w:val="22"/>
        </w:rPr>
        <w:t xml:space="preserve">Exam day preparation: identification requirements, testing center rules, calculator policy</w:t>
      </w:r>
    </w:p>
    <w:p>
      <w:pPr>
        <w:pStyle w:val="ListParagraph"/>
        <w:numPr>
          <w:ilvl w:val="0"/>
          <w:numId w:val="2"/>
        </w:numPr>
        <w:spacing w:after="40" w:before="40"/>
      </w:pPr>
      <w:r>
        <w:rPr>
          <w:rFonts w:ascii="Arial" w:cs="Arial" w:eastAsia="Arial" w:hAnsi="Arial"/>
          <w:b w:val="false"/>
          <w:bCs w:val="false"/>
          <w:sz w:val="22"/>
          <w:szCs w:val="22"/>
        </w:rPr>
        <w:t xml:space="preserve">Post-exam: applying for state board of pharmacy registration as a CPhT</w:t>
      </w:r>
    </w:p>
    <w:p>
      <w:r>
        <w:br w:type="page"/>
      </w:r>
    </w:p>
    <w:p>
      <w:pPr>
        <w:pStyle w:val="Heading1"/>
        <w:pBdr>
          <w:bottom w:val="single" w:color="2E75B6" w:sz="6" w:space="4"/>
        </w:pBdr>
        <w:spacing w:after="120" w:before="360"/>
      </w:pPr>
      <w:r>
        <w:rPr>
          <w:rFonts w:ascii="Arial" w:cs="Arial" w:eastAsia="Arial" w:hAnsi="Arial"/>
          <w:b/>
          <w:bCs/>
          <w:color w:val="1F4E79"/>
          <w:sz w:val="28"/>
          <w:szCs w:val="28"/>
        </w:rPr>
        <w:t xml:space="preserve">Section 6: Assessment and Grading</w:t>
      </w:r>
    </w:p>
    <w:p>
      <w:pPr>
        <w:pStyle w:val="Heading2"/>
        <w:spacing w:after="80" w:before="240"/>
      </w:pPr>
      <w:r>
        <w:rPr>
          <w:rFonts w:ascii="Arial" w:cs="Arial" w:eastAsia="Arial" w:hAnsi="Arial"/>
          <w:b/>
          <w:bCs/>
          <w:color w:val="2E75B6"/>
          <w:sz w:val="24"/>
          <w:szCs w:val="24"/>
        </w:rPr>
        <w:t xml:space="preserve">Assessment Structure</w:t>
      </w:r>
    </w:p>
    <w:p>
      <w:pPr>
        <w:spacing w:after="60" w:before="60"/>
      </w:pPr>
      <w:r>
        <w:rPr>
          <w:rFonts w:ascii="Arial" w:cs="Arial" w:eastAsia="Arial" w:hAnsi="Arial"/>
          <w:sz w:val="22"/>
          <w:szCs w:val="22"/>
        </w:rPr>
        <w:t xml:space="preserve">Student progress is evaluated through a combination of knowledge checks, course assessments, and a final capstone examination. All assessments are completed online within the Allied Health Academy learning platform.</w:t>
      </w:r>
    </w:p>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1980"/>
        <w:gridCol w:w="1980"/>
      </w:tblGrid>
      <w:tr>
        <w:trPr>
          <w:tblHeader/>
        </w:trPr>
        <w:tc>
          <w:tcPr>
            <w:tcW w:type="dxa" w:w="540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Assessment Type</w:t>
            </w:r>
          </w:p>
        </w:tc>
        <w:tc>
          <w:tcPr>
            <w:tcW w:type="dxa" w:w="198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Number</w:t>
            </w:r>
          </w:p>
        </w:tc>
        <w:tc>
          <w:tcPr>
            <w:tcW w:type="dxa" w:w="198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Weight</w:t>
            </w:r>
          </w:p>
        </w:tc>
      </w:tr>
      <w:tr>
        <w:tc>
          <w:tcPr>
            <w:tcW w:type="dxa" w:w="5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Module Knowledge Checks (per course)</w:t>
            </w:r>
          </w:p>
        </w:tc>
        <w:tc>
          <w:tcPr>
            <w:tcW w:type="dxa" w:w="19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sz w:val="20"/>
                <w:szCs w:val="20"/>
              </w:rPr>
              <w:t xml:space="preserve">9 sets</w:t>
            </w:r>
          </w:p>
        </w:tc>
        <w:tc>
          <w:tcPr>
            <w:tcW w:type="dxa" w:w="19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b/>
                <w:bCs/>
                <w:color w:val="2E75B6"/>
                <w:sz w:val="20"/>
                <w:szCs w:val="20"/>
              </w:rPr>
              <w:t xml:space="preserve">Ungraded / Formative</w:t>
            </w:r>
          </w:p>
        </w:tc>
      </w:tr>
      <w:tr>
        <w:tc>
          <w:tcPr>
            <w:tcW w:type="dxa" w:w="5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Course Assessments (end of each course)</w:t>
            </w:r>
          </w:p>
        </w:tc>
        <w:tc>
          <w:tcPr>
            <w:tcW w:type="dxa" w:w="19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jc w:val="center"/>
            </w:pPr>
            <w:r>
              <w:rPr>
                <w:rFonts w:ascii="Arial" w:cs="Arial" w:eastAsia="Arial" w:hAnsi="Arial"/>
                <w:sz w:val="20"/>
                <w:szCs w:val="20"/>
              </w:rPr>
              <w:t xml:space="preserve">9 exams</w:t>
            </w:r>
          </w:p>
        </w:tc>
        <w:tc>
          <w:tcPr>
            <w:tcW w:type="dxa" w:w="19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jc w:val="center"/>
            </w:pPr>
            <w:r>
              <w:rPr>
                <w:rFonts w:ascii="Arial" w:cs="Arial" w:eastAsia="Arial" w:hAnsi="Arial"/>
                <w:b/>
                <w:bCs/>
                <w:color w:val="2E75B6"/>
                <w:sz w:val="20"/>
                <w:szCs w:val="20"/>
              </w:rPr>
              <w:t xml:space="preserve">50%</w:t>
            </w:r>
          </w:p>
        </w:tc>
      </w:tr>
      <w:tr>
        <w:tc>
          <w:tcPr>
            <w:tcW w:type="dxa" w:w="5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Pharmacy Calculations Competency Exam</w:t>
            </w:r>
          </w:p>
        </w:tc>
        <w:tc>
          <w:tcPr>
            <w:tcW w:type="dxa" w:w="19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sz w:val="20"/>
                <w:szCs w:val="20"/>
              </w:rPr>
              <w:t xml:space="preserve">1 exam</w:t>
            </w:r>
          </w:p>
        </w:tc>
        <w:tc>
          <w:tcPr>
            <w:tcW w:type="dxa" w:w="19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b/>
                <w:bCs/>
                <w:color w:val="2E75B6"/>
                <w:sz w:val="20"/>
                <w:szCs w:val="20"/>
              </w:rPr>
              <w:t xml:space="preserve">20%</w:t>
            </w:r>
          </w:p>
        </w:tc>
      </w:tr>
      <w:tr>
        <w:tc>
          <w:tcPr>
            <w:tcW w:type="dxa" w:w="5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Top 200 Medications Final Review Exam</w:t>
            </w:r>
          </w:p>
        </w:tc>
        <w:tc>
          <w:tcPr>
            <w:tcW w:type="dxa" w:w="19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jc w:val="center"/>
            </w:pPr>
            <w:r>
              <w:rPr>
                <w:rFonts w:ascii="Arial" w:cs="Arial" w:eastAsia="Arial" w:hAnsi="Arial"/>
                <w:sz w:val="20"/>
                <w:szCs w:val="20"/>
              </w:rPr>
              <w:t xml:space="preserve">1 exam</w:t>
            </w:r>
          </w:p>
        </w:tc>
        <w:tc>
          <w:tcPr>
            <w:tcW w:type="dxa" w:w="19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jc w:val="center"/>
            </w:pPr>
            <w:r>
              <w:rPr>
                <w:rFonts w:ascii="Arial" w:cs="Arial" w:eastAsia="Arial" w:hAnsi="Arial"/>
                <w:b/>
                <w:bCs/>
                <w:color w:val="2E75B6"/>
                <w:sz w:val="20"/>
                <w:szCs w:val="20"/>
              </w:rPr>
              <w:t xml:space="preserve">10%</w:t>
            </w:r>
          </w:p>
        </w:tc>
      </w:tr>
      <w:tr>
        <w:tc>
          <w:tcPr>
            <w:tcW w:type="dxa" w:w="5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Capstone PTCE Practice Exam</w:t>
            </w:r>
          </w:p>
        </w:tc>
        <w:tc>
          <w:tcPr>
            <w:tcW w:type="dxa" w:w="19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sz w:val="20"/>
                <w:szCs w:val="20"/>
              </w:rPr>
              <w:t xml:space="preserve">1 exam</w:t>
            </w:r>
          </w:p>
        </w:tc>
        <w:tc>
          <w:tcPr>
            <w:tcW w:type="dxa" w:w="19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rFonts w:ascii="Arial" w:cs="Arial" w:eastAsia="Arial" w:hAnsi="Arial"/>
                <w:b/>
                <w:bCs/>
                <w:color w:val="2E75B6"/>
                <w:sz w:val="20"/>
                <w:szCs w:val="20"/>
              </w:rPr>
              <w:t xml:space="preserve">20%</w:t>
            </w:r>
          </w:p>
        </w:tc>
      </w:tr>
    </w:tbl>
    <w:p>
      <w:pPr>
        <w:spacing w:after="0" w:before="80"/>
      </w:pPr>
      <w:r>
        <w:t xml:space="preserve"/>
      </w:r>
    </w:p>
    <w:p>
      <w:pPr>
        <w:pStyle w:val="Heading2"/>
        <w:spacing w:after="80" w:before="240"/>
      </w:pPr>
      <w:r>
        <w:rPr>
          <w:rFonts w:ascii="Arial" w:cs="Arial" w:eastAsia="Arial" w:hAnsi="Arial"/>
          <w:b/>
          <w:bCs/>
          <w:color w:val="2E75B6"/>
          <w:sz w:val="24"/>
          <w:szCs w:val="24"/>
        </w:rPr>
        <w:t xml:space="preserve">Grading Scale</w:t>
      </w:r>
    </w:p>
    <w:tbl>
      <w:tblPr>
        <w:tblW w:type="dxa" w:w="468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tblGrid>
      <w:tr>
        <w:trPr>
          <w:tblHeader/>
        </w:trPr>
        <w:tc>
          <w:tcPr>
            <w:tcW w:type="dxa" w:w="234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Score Range</w:t>
            </w:r>
          </w:p>
        </w:tc>
        <w:tc>
          <w:tcPr>
            <w:tcW w:type="dxa" w:w="234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pPr>
              <w:jc w:val="center"/>
            </w:pPr>
            <w:r>
              <w:rPr>
                <w:rFonts w:ascii="Arial" w:cs="Arial" w:eastAsia="Arial" w:hAnsi="Arial"/>
                <w:b/>
                <w:bCs/>
                <w:color w:val="FFFFFF"/>
                <w:sz w:val="20"/>
                <w:szCs w:val="20"/>
              </w:rPr>
              <w:t xml:space="preserve">Grade</w:t>
            </w:r>
          </w:p>
        </w:tc>
      </w:tr>
      <w:tr>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90% - 100%</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Pass with Distinction</w:t>
            </w:r>
          </w:p>
        </w:tc>
      </w:tr>
      <w:tr>
        <w:tc>
          <w:tcPr>
            <w:tcW w:type="dxa" w:w="23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80% - 89%</w:t>
            </w:r>
          </w:p>
        </w:tc>
        <w:tc>
          <w:tcPr>
            <w:tcW w:type="dxa" w:w="23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Pass</w:t>
            </w:r>
          </w:p>
        </w:tc>
      </w:tr>
      <w:tr>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70% - 79%</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Pass</w:t>
            </w:r>
          </w:p>
        </w:tc>
      </w:tr>
      <w:tr>
        <w:tc>
          <w:tcPr>
            <w:tcW w:type="dxa" w:w="23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Below 70%</w:t>
            </w:r>
          </w:p>
        </w:tc>
        <w:tc>
          <w:tcPr>
            <w:tcW w:type="dxa" w:w="23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Did Not Pass — Retake Required</w:t>
            </w:r>
          </w:p>
        </w:tc>
      </w:tr>
    </w:tbl>
    <w:p>
      <w:pPr>
        <w:spacing w:after="0" w:before="80"/>
      </w:pPr>
      <w:r>
        <w:t xml:space="preserve"/>
      </w:r>
    </w:p>
    <w:p>
      <w:pPr>
        <w:pStyle w:val="Heading2"/>
        <w:spacing w:after="80" w:before="240"/>
      </w:pPr>
      <w:r>
        <w:rPr>
          <w:rFonts w:ascii="Arial" w:cs="Arial" w:eastAsia="Arial" w:hAnsi="Arial"/>
          <w:b/>
          <w:bCs/>
          <w:color w:val="2E75B6"/>
          <w:sz w:val="24"/>
          <w:szCs w:val="24"/>
        </w:rPr>
        <w:t xml:space="preserve">Completion Requirements</w:t>
      </w:r>
    </w:p>
    <w:p>
      <w:pPr>
        <w:pStyle w:val="ListParagraph"/>
        <w:numPr>
          <w:ilvl w:val="0"/>
          <w:numId w:val="2"/>
        </w:numPr>
        <w:spacing w:after="40" w:before="40"/>
      </w:pPr>
      <w:r>
        <w:rPr>
          <w:rFonts w:ascii="Arial" w:cs="Arial" w:eastAsia="Arial" w:hAnsi="Arial"/>
          <w:b w:val="false"/>
          <w:bCs w:val="false"/>
          <w:sz w:val="22"/>
          <w:szCs w:val="22"/>
        </w:rPr>
        <w:t xml:space="preserve">Complete all nine course modules with a minimum passing score of 70% on each assessment</w:t>
      </w:r>
    </w:p>
    <w:p>
      <w:pPr>
        <w:pStyle w:val="ListParagraph"/>
        <w:numPr>
          <w:ilvl w:val="0"/>
          <w:numId w:val="2"/>
        </w:numPr>
        <w:spacing w:after="40" w:before="40"/>
      </w:pPr>
      <w:r>
        <w:rPr>
          <w:rFonts w:ascii="Arial" w:cs="Arial" w:eastAsia="Arial" w:hAnsi="Arial"/>
          <w:b w:val="false"/>
          <w:bCs w:val="false"/>
          <w:sz w:val="22"/>
          <w:szCs w:val="22"/>
        </w:rPr>
        <w:t xml:space="preserve">Complete the Pharmacy Calculations Competency Exam with a score of 70% or higher</w:t>
      </w:r>
    </w:p>
    <w:p>
      <w:pPr>
        <w:pStyle w:val="ListParagraph"/>
        <w:numPr>
          <w:ilvl w:val="0"/>
          <w:numId w:val="2"/>
        </w:numPr>
        <w:spacing w:after="40" w:before="40"/>
      </w:pPr>
      <w:r>
        <w:rPr>
          <w:rFonts w:ascii="Arial" w:cs="Arial" w:eastAsia="Arial" w:hAnsi="Arial"/>
          <w:b w:val="false"/>
          <w:bCs w:val="false"/>
          <w:sz w:val="22"/>
          <w:szCs w:val="22"/>
        </w:rPr>
        <w:t xml:space="preserve">Complete the Top 200 Medications Review Exam with a score of 70% or higher</w:t>
      </w:r>
    </w:p>
    <w:p>
      <w:pPr>
        <w:pStyle w:val="ListParagraph"/>
        <w:numPr>
          <w:ilvl w:val="0"/>
          <w:numId w:val="2"/>
        </w:numPr>
        <w:spacing w:after="40" w:before="40"/>
      </w:pPr>
      <w:r>
        <w:rPr>
          <w:rFonts w:ascii="Arial" w:cs="Arial" w:eastAsia="Arial" w:hAnsi="Arial"/>
          <w:b w:val="false"/>
          <w:bCs w:val="false"/>
          <w:sz w:val="22"/>
          <w:szCs w:val="22"/>
        </w:rPr>
        <w:t xml:space="preserve">Complete the Capstone PTCE Practice Exam</w:t>
      </w:r>
    </w:p>
    <w:p>
      <w:pPr>
        <w:pStyle w:val="ListParagraph"/>
        <w:numPr>
          <w:ilvl w:val="0"/>
          <w:numId w:val="2"/>
        </w:numPr>
        <w:spacing w:after="40" w:before="40"/>
      </w:pPr>
      <w:r>
        <w:rPr>
          <w:rFonts w:ascii="Arial" w:cs="Arial" w:eastAsia="Arial" w:hAnsi="Arial"/>
          <w:b w:val="false"/>
          <w:bCs w:val="false"/>
          <w:sz w:val="22"/>
          <w:szCs w:val="22"/>
        </w:rPr>
        <w:t xml:space="preserve">Complete the program within 12 months of enrollment date</w:t>
      </w:r>
    </w:p>
    <w:p>
      <w:pPr>
        <w:spacing w:after="0" w:before="60"/>
      </w:pPr>
      <w:r>
        <w:t xml:space="preserve"/>
      </w:r>
    </w:p>
    <w:p>
      <w:pPr>
        <w:spacing w:after="60" w:before="60"/>
      </w:pPr>
      <w:r>
        <w:rPr>
          <w:rFonts w:ascii="Arial" w:cs="Arial" w:eastAsia="Arial" w:hAnsi="Arial"/>
          <w:sz w:val="22"/>
          <w:szCs w:val="22"/>
        </w:rPr>
        <w:t xml:space="preserve">Students who do not pass an assessment on the first attempt may retake the assessment one additional time after a 24-hour waiting period. Students who do not pass on the second attempt must contact their instructor for guided remediation before a third attempt is permitted.</w:t>
      </w:r>
    </w:p>
    <w:p>
      <w:r>
        <w:br w:type="page"/>
      </w:r>
    </w:p>
    <w:p>
      <w:pPr>
        <w:pStyle w:val="Heading1"/>
        <w:pBdr>
          <w:bottom w:val="single" w:color="2E75B6" w:sz="6" w:space="4"/>
        </w:pBdr>
        <w:spacing w:after="120" w:before="360"/>
      </w:pPr>
      <w:r>
        <w:rPr>
          <w:rFonts w:ascii="Arial" w:cs="Arial" w:eastAsia="Arial" w:hAnsi="Arial"/>
          <w:b/>
          <w:bCs/>
          <w:color w:val="1F4E79"/>
          <w:sz w:val="28"/>
          <w:szCs w:val="28"/>
        </w:rPr>
        <w:t xml:space="preserve">Section 7: Program Policies</w:t>
      </w:r>
    </w:p>
    <w:p>
      <w:pPr>
        <w:pStyle w:val="Heading2"/>
        <w:spacing w:after="80" w:before="240"/>
      </w:pPr>
      <w:r>
        <w:rPr>
          <w:rFonts w:ascii="Arial" w:cs="Arial" w:eastAsia="Arial" w:hAnsi="Arial"/>
          <w:b/>
          <w:bCs/>
          <w:color w:val="2E75B6"/>
          <w:sz w:val="24"/>
          <w:szCs w:val="24"/>
        </w:rPr>
        <w:t xml:space="preserve">Attendance and Participation</w:t>
      </w:r>
    </w:p>
    <w:p>
      <w:pPr>
        <w:spacing w:after="60" w:before="60"/>
      </w:pPr>
      <w:r>
        <w:rPr>
          <w:rFonts w:ascii="Arial" w:cs="Arial" w:eastAsia="Arial" w:hAnsi="Arial"/>
          <w:sz w:val="22"/>
          <w:szCs w:val="22"/>
        </w:rPr>
        <w:t xml:space="preserve">Allied Health Academy is a 100% self-paced, asynchronous program. There are no required login times or live session requirements. Students must complete all course modules and assessments within 12 months of their enrollment date. Students who require a program extension must contact the Academy in writing prior to the expiration of their enrollment period.</w:t>
      </w:r>
    </w:p>
    <w:p>
      <w:pPr>
        <w:spacing w:after="0" w:before="80"/>
      </w:pPr>
      <w:r>
        <w:t xml:space="preserve"/>
      </w:r>
    </w:p>
    <w:p>
      <w:pPr>
        <w:pStyle w:val="Heading2"/>
        <w:spacing w:after="80" w:before="240"/>
      </w:pPr>
      <w:r>
        <w:rPr>
          <w:rFonts w:ascii="Arial" w:cs="Arial" w:eastAsia="Arial" w:hAnsi="Arial"/>
          <w:b/>
          <w:bCs/>
          <w:color w:val="2E75B6"/>
          <w:sz w:val="24"/>
          <w:szCs w:val="24"/>
        </w:rPr>
        <w:t xml:space="preserve">Academic Integrity</w:t>
      </w:r>
    </w:p>
    <w:p>
      <w:pPr>
        <w:spacing w:after="60" w:before="60"/>
      </w:pPr>
      <w:r>
        <w:rPr>
          <w:rFonts w:ascii="Arial" w:cs="Arial" w:eastAsia="Arial" w:hAnsi="Arial"/>
          <w:sz w:val="22"/>
          <w:szCs w:val="22"/>
        </w:rPr>
        <w:t xml:space="preserve">All work submitted by students must be their own. Use of unauthorized resources during timed assessments, sharing assessment content, or attempting to access course materials through unauthorized means constitutes academic dishonesty and may result in immediate dismissal from the program without refund.</w:t>
      </w:r>
    </w:p>
    <w:p>
      <w:pPr>
        <w:spacing w:after="0" w:before="80"/>
      </w:pPr>
      <w:r>
        <w:t xml:space="preserve"/>
      </w:r>
    </w:p>
    <w:p>
      <w:pPr>
        <w:pStyle w:val="Heading2"/>
        <w:spacing w:after="80" w:before="240"/>
      </w:pPr>
      <w:r>
        <w:rPr>
          <w:rFonts w:ascii="Arial" w:cs="Arial" w:eastAsia="Arial" w:hAnsi="Arial"/>
          <w:b/>
          <w:bCs/>
          <w:color w:val="2E75B6"/>
          <w:sz w:val="24"/>
          <w:szCs w:val="24"/>
        </w:rPr>
        <w:t xml:space="preserve">Tuition and Refund Policy</w:t>
      </w:r>
    </w:p>
    <w:p>
      <w:pPr>
        <w:pStyle w:val="ListParagraph"/>
        <w:numPr>
          <w:ilvl w:val="0"/>
          <w:numId w:val="2"/>
        </w:numPr>
        <w:spacing w:after="40" w:before="40"/>
      </w:pPr>
      <w:r>
        <w:rPr>
          <w:rFonts w:ascii="Arial" w:cs="Arial" w:eastAsia="Arial" w:hAnsi="Arial"/>
          <w:b w:val="false"/>
          <w:bCs w:val="false"/>
          <w:sz w:val="22"/>
          <w:szCs w:val="22"/>
        </w:rPr>
        <w:t xml:space="preserve">Program tuition: $8,997 (cash/one-time payment) or $899 x 12 installments</w:t>
      </w:r>
    </w:p>
    <w:p>
      <w:pPr>
        <w:pStyle w:val="ListParagraph"/>
        <w:numPr>
          <w:ilvl w:val="0"/>
          <w:numId w:val="2"/>
        </w:numPr>
        <w:spacing w:after="40" w:before="40"/>
      </w:pPr>
      <w:r>
        <w:rPr>
          <w:rFonts w:ascii="Arial" w:cs="Arial" w:eastAsia="Arial" w:hAnsi="Arial"/>
          <w:b w:val="false"/>
          <w:bCs w:val="false"/>
          <w:sz w:val="22"/>
          <w:szCs w:val="22"/>
        </w:rPr>
        <w:t xml:space="preserve">Installment access is paused if payment is 15 days past due</w:t>
      </w:r>
    </w:p>
    <w:p>
      <w:pPr>
        <w:pStyle w:val="ListParagraph"/>
        <w:numPr>
          <w:ilvl w:val="0"/>
          <w:numId w:val="2"/>
        </w:numPr>
        <w:spacing w:after="40" w:before="40"/>
      </w:pPr>
      <w:r>
        <w:rPr>
          <w:rFonts w:ascii="Arial" w:cs="Arial" w:eastAsia="Arial" w:hAnsi="Arial"/>
          <w:b w:val="false"/>
          <w:bCs w:val="false"/>
          <w:sz w:val="22"/>
          <w:szCs w:val="22"/>
        </w:rPr>
        <w:t xml:space="preserve">Installment access is cancelled and account suspended if payment is 30 days past due</w:t>
      </w:r>
    </w:p>
    <w:p>
      <w:pPr>
        <w:pStyle w:val="ListParagraph"/>
        <w:numPr>
          <w:ilvl w:val="0"/>
          <w:numId w:val="2"/>
        </w:numPr>
        <w:spacing w:after="40" w:before="40"/>
      </w:pPr>
      <w:r>
        <w:rPr>
          <w:rFonts w:ascii="Arial" w:cs="Arial" w:eastAsia="Arial" w:hAnsi="Arial"/>
          <w:b w:val="false"/>
          <w:bCs w:val="false"/>
          <w:sz w:val="22"/>
          <w:szCs w:val="22"/>
        </w:rPr>
        <w:t xml:space="preserve">No deposit required; no credit check for enrollment</w:t>
      </w:r>
    </w:p>
    <w:p>
      <w:pPr>
        <w:pStyle w:val="ListParagraph"/>
        <w:numPr>
          <w:ilvl w:val="0"/>
          <w:numId w:val="2"/>
        </w:numPr>
        <w:spacing w:after="40" w:before="40"/>
      </w:pPr>
      <w:r>
        <w:rPr>
          <w:rFonts w:ascii="Arial" w:cs="Arial" w:eastAsia="Arial" w:hAnsi="Arial"/>
          <w:b w:val="false"/>
          <w:bCs w:val="false"/>
          <w:sz w:val="22"/>
          <w:szCs w:val="22"/>
        </w:rPr>
        <w:t xml:space="preserve">Students who withdraw within the first 3 business days of enrollment and have not accessed course content are eligible for a full refund</w:t>
      </w:r>
    </w:p>
    <w:p>
      <w:pPr>
        <w:pStyle w:val="ListParagraph"/>
        <w:numPr>
          <w:ilvl w:val="0"/>
          <w:numId w:val="2"/>
        </w:numPr>
        <w:spacing w:after="40" w:before="40"/>
      </w:pPr>
      <w:r>
        <w:rPr>
          <w:rFonts w:ascii="Arial" w:cs="Arial" w:eastAsia="Arial" w:hAnsi="Arial"/>
          <w:b w:val="false"/>
          <w:bCs w:val="false"/>
          <w:sz w:val="22"/>
          <w:szCs w:val="22"/>
        </w:rPr>
        <w:t xml:space="preserve">Refund requests after the 3-day period are evaluated on a case-by-case basis in accordance with applicable state law</w:t>
      </w:r>
    </w:p>
    <w:p>
      <w:pPr>
        <w:spacing w:after="0" w:before="80"/>
      </w:pPr>
      <w:r>
        <w:t xml:space="preserve"/>
      </w:r>
    </w:p>
    <w:p>
      <w:pPr>
        <w:pStyle w:val="Heading2"/>
        <w:spacing w:after="80" w:before="240"/>
      </w:pPr>
      <w:r>
        <w:rPr>
          <w:rFonts w:ascii="Arial" w:cs="Arial" w:eastAsia="Arial" w:hAnsi="Arial"/>
          <w:b/>
          <w:bCs/>
          <w:color w:val="2E75B6"/>
          <w:sz w:val="24"/>
          <w:szCs w:val="24"/>
        </w:rPr>
        <w:t xml:space="preserve">Disability and Accommodation</w:t>
      </w:r>
    </w:p>
    <w:p>
      <w:pPr>
        <w:spacing w:after="60" w:before="60"/>
      </w:pPr>
      <w:r>
        <w:rPr>
          <w:rFonts w:ascii="Arial" w:cs="Arial" w:eastAsia="Arial" w:hAnsi="Arial"/>
          <w:sz w:val="22"/>
          <w:szCs w:val="22"/>
        </w:rPr>
        <w:t xml:space="preserve">Allied Health Academy is committed to providing equal access to all students. Students who require academic accommodations due to a documented disability should contact the Academy prior to enrollment to discuss available support options.</w:t>
      </w:r>
    </w:p>
    <w:p>
      <w:pPr>
        <w:spacing w:after="0" w:before="80"/>
      </w:pPr>
      <w:r>
        <w:t xml:space="preserve"/>
      </w:r>
    </w:p>
    <w:p>
      <w:pPr>
        <w:pStyle w:val="Heading2"/>
        <w:spacing w:after="80" w:before="240"/>
      </w:pPr>
      <w:r>
        <w:rPr>
          <w:rFonts w:ascii="Arial" w:cs="Arial" w:eastAsia="Arial" w:hAnsi="Arial"/>
          <w:b/>
          <w:bCs/>
          <w:color w:val="2E75B6"/>
          <w:sz w:val="24"/>
          <w:szCs w:val="24"/>
        </w:rPr>
        <w:t xml:space="preserve">Technical Requirements</w:t>
      </w:r>
    </w:p>
    <w:p>
      <w:pPr>
        <w:pStyle w:val="ListParagraph"/>
        <w:numPr>
          <w:ilvl w:val="0"/>
          <w:numId w:val="2"/>
        </w:numPr>
        <w:spacing w:after="40" w:before="40"/>
      </w:pPr>
      <w:r>
        <w:rPr>
          <w:rFonts w:ascii="Arial" w:cs="Arial" w:eastAsia="Arial" w:hAnsi="Arial"/>
          <w:b w:val="false"/>
          <w:bCs w:val="false"/>
          <w:sz w:val="22"/>
          <w:szCs w:val="22"/>
        </w:rPr>
        <w:t xml:space="preserve">Computer or tablet with updated browser (Chrome or Firefox recommended)</w:t>
      </w:r>
    </w:p>
    <w:p>
      <w:pPr>
        <w:pStyle w:val="ListParagraph"/>
        <w:numPr>
          <w:ilvl w:val="0"/>
          <w:numId w:val="2"/>
        </w:numPr>
        <w:spacing w:after="40" w:before="40"/>
      </w:pPr>
      <w:r>
        <w:rPr>
          <w:rFonts w:ascii="Arial" w:cs="Arial" w:eastAsia="Arial" w:hAnsi="Arial"/>
          <w:b w:val="false"/>
          <w:bCs w:val="false"/>
          <w:sz w:val="22"/>
          <w:szCs w:val="22"/>
        </w:rPr>
        <w:t xml:space="preserve">Reliable broadband internet connection capable of streaming video</w:t>
      </w:r>
    </w:p>
    <w:p>
      <w:pPr>
        <w:pStyle w:val="ListParagraph"/>
        <w:numPr>
          <w:ilvl w:val="0"/>
          <w:numId w:val="2"/>
        </w:numPr>
        <w:spacing w:after="40" w:before="40"/>
      </w:pPr>
      <w:r>
        <w:rPr>
          <w:rFonts w:ascii="Arial" w:cs="Arial" w:eastAsia="Arial" w:hAnsi="Arial"/>
          <w:b w:val="false"/>
          <w:bCs w:val="false"/>
          <w:sz w:val="22"/>
          <w:szCs w:val="22"/>
        </w:rPr>
        <w:t xml:space="preserve">PDF reader (Adobe Acrobat Reader or equivalent)</w:t>
      </w:r>
    </w:p>
    <w:p>
      <w:pPr>
        <w:pStyle w:val="ListParagraph"/>
        <w:numPr>
          <w:ilvl w:val="0"/>
          <w:numId w:val="2"/>
        </w:numPr>
        <w:spacing w:after="40" w:before="40"/>
      </w:pPr>
      <w:r>
        <w:rPr>
          <w:rFonts w:ascii="Arial" w:cs="Arial" w:eastAsia="Arial" w:hAnsi="Arial"/>
          <w:b w:val="false"/>
          <w:bCs w:val="false"/>
          <w:sz w:val="22"/>
          <w:szCs w:val="22"/>
        </w:rPr>
        <w:t xml:space="preserve">Basic word processing application for note-taking</w:t>
      </w:r>
    </w:p>
    <w:p>
      <w:pPr>
        <w:pStyle w:val="ListParagraph"/>
        <w:numPr>
          <w:ilvl w:val="0"/>
          <w:numId w:val="2"/>
        </w:numPr>
        <w:spacing w:after="40" w:before="40"/>
      </w:pPr>
      <w:r>
        <w:rPr>
          <w:rFonts w:ascii="Arial" w:cs="Arial" w:eastAsia="Arial" w:hAnsi="Arial"/>
          <w:b w:val="false"/>
          <w:bCs w:val="false"/>
          <w:sz w:val="22"/>
          <w:szCs w:val="22"/>
        </w:rPr>
        <w:t xml:space="preserve">A calculator is permitted for all calculation coursework and is provided on the PTCE exam</w:t>
      </w:r>
    </w:p>
    <w:p>
      <w:r>
        <w:br w:type="page"/>
      </w:r>
    </w:p>
    <w:p>
      <w:pPr>
        <w:pStyle w:val="Heading1"/>
        <w:pBdr>
          <w:bottom w:val="single" w:color="2E75B6" w:sz="6" w:space="4"/>
        </w:pBdr>
        <w:spacing w:after="120" w:before="360"/>
      </w:pPr>
      <w:r>
        <w:rPr>
          <w:rFonts w:ascii="Arial" w:cs="Arial" w:eastAsia="Arial" w:hAnsi="Arial"/>
          <w:b/>
          <w:bCs/>
          <w:color w:val="1F4E79"/>
          <w:sz w:val="28"/>
          <w:szCs w:val="28"/>
        </w:rPr>
        <w:t xml:space="preserve">Section 8: Credential and Certification Pathway</w:t>
      </w:r>
    </w:p>
    <w:p>
      <w:pPr>
        <w:pStyle w:val="Heading2"/>
        <w:spacing w:after="80" w:before="240"/>
      </w:pPr>
      <w:r>
        <w:rPr>
          <w:rFonts w:ascii="Arial" w:cs="Arial" w:eastAsia="Arial" w:hAnsi="Arial"/>
          <w:b/>
          <w:bCs/>
          <w:color w:val="2E75B6"/>
          <w:sz w:val="24"/>
          <w:szCs w:val="24"/>
        </w:rPr>
        <w:t xml:space="preserve">Certificate of Completion</w:t>
      </w:r>
    </w:p>
    <w:p>
      <w:pPr>
        <w:spacing w:after="60" w:before="60"/>
      </w:pPr>
      <w:r>
        <w:rPr>
          <w:rFonts w:ascii="Arial" w:cs="Arial" w:eastAsia="Arial" w:hAnsi="Arial"/>
          <w:sz w:val="22"/>
          <w:szCs w:val="22"/>
        </w:rPr>
        <w:t xml:space="preserve">Students who successfully complete all program requirements will receive an Allied Health Academy Certificate of Completion in Pharmacy Technician Training. This certificate satisfies the PTCB training program recognition requirement and the Alabama Board of Pharmacy pre-registration education requirement.</w:t>
      </w:r>
    </w:p>
    <w:p>
      <w:pPr>
        <w:spacing w:after="0" w:before="80"/>
      </w:pPr>
      <w:r>
        <w:t xml:space="preserve"/>
      </w:r>
    </w:p>
    <w:p>
      <w:pPr>
        <w:pStyle w:val="Heading2"/>
        <w:spacing w:after="80" w:before="240"/>
      </w:pPr>
      <w:r>
        <w:rPr>
          <w:rFonts w:ascii="Arial" w:cs="Arial" w:eastAsia="Arial" w:hAnsi="Arial"/>
          <w:b/>
          <w:bCs/>
          <w:color w:val="2E75B6"/>
          <w:sz w:val="24"/>
          <w:szCs w:val="24"/>
        </w:rPr>
        <w:t xml:space="preserve">PTCE Examination</w:t>
      </w:r>
    </w:p>
    <w:p>
      <w:pPr>
        <w:spacing w:after="60" w:before="60"/>
      </w:pPr>
      <w:r>
        <w:rPr>
          <w:rFonts w:ascii="Arial" w:cs="Arial" w:eastAsia="Arial" w:hAnsi="Arial"/>
          <w:sz w:val="22"/>
          <w:szCs w:val="22"/>
        </w:rPr>
        <w:t xml:space="preserve">Upon program completion, students are eligible to apply for the Pharmacy Technician Certification Exam (PTCE) through the Pharmacy Technician Certification Board (PTCB). The PTCE is a 90-question computer-based exam with a 2-hour time limit. The passing score is 1400 on a 1000-1600 scale.</w:t>
      </w:r>
    </w:p>
    <w:p>
      <w:pPr>
        <w:spacing w:after="0" w:before="40"/>
      </w:pPr>
      <w:r>
        <w:t xml:space="preserve"/>
      </w:r>
    </w:p>
    <w:p>
      <w:pPr>
        <w:pStyle w:val="ListParagraph"/>
        <w:numPr>
          <w:ilvl w:val="0"/>
          <w:numId w:val="2"/>
        </w:numPr>
        <w:spacing w:after="40" w:before="40"/>
      </w:pPr>
      <w:r>
        <w:rPr>
          <w:rFonts w:ascii="Arial" w:cs="Arial" w:eastAsia="Arial" w:hAnsi="Arial"/>
          <w:b w:val="false"/>
          <w:bCs w:val="false"/>
          <w:sz w:val="22"/>
          <w:szCs w:val="22"/>
        </w:rPr>
        <w:t xml:space="preserve">PTCE exam fee: $129 (paid directly to PTCB at registration)</w:t>
      </w:r>
    </w:p>
    <w:p>
      <w:pPr>
        <w:pStyle w:val="ListParagraph"/>
        <w:numPr>
          <w:ilvl w:val="0"/>
          <w:numId w:val="2"/>
        </w:numPr>
        <w:spacing w:after="40" w:before="40"/>
      </w:pPr>
      <w:r>
        <w:rPr>
          <w:rFonts w:ascii="Arial" w:cs="Arial" w:eastAsia="Arial" w:hAnsi="Arial"/>
          <w:b w:val="false"/>
          <w:bCs w:val="false"/>
          <w:sz w:val="22"/>
          <w:szCs w:val="22"/>
        </w:rPr>
        <w:t xml:space="preserve">Application submitted at ptcb.org</w:t>
      </w:r>
    </w:p>
    <w:p>
      <w:pPr>
        <w:pStyle w:val="ListParagraph"/>
        <w:numPr>
          <w:ilvl w:val="0"/>
          <w:numId w:val="2"/>
        </w:numPr>
        <w:spacing w:after="40" w:before="40"/>
      </w:pPr>
      <w:r>
        <w:rPr>
          <w:rFonts w:ascii="Arial" w:cs="Arial" w:eastAsia="Arial" w:hAnsi="Arial"/>
          <w:b w:val="false"/>
          <w:bCs w:val="false"/>
          <w:sz w:val="22"/>
          <w:szCs w:val="22"/>
        </w:rPr>
        <w:t xml:space="preserve">Exam administered at Pearson VUE testing centers nationwide</w:t>
      </w:r>
    </w:p>
    <w:p>
      <w:pPr>
        <w:pStyle w:val="ListParagraph"/>
        <w:numPr>
          <w:ilvl w:val="0"/>
          <w:numId w:val="2"/>
        </w:numPr>
        <w:spacing w:after="40" w:before="40"/>
      </w:pPr>
      <w:r>
        <w:rPr>
          <w:rFonts w:ascii="Arial" w:cs="Arial" w:eastAsia="Arial" w:hAnsi="Arial"/>
          <w:b w:val="false"/>
          <w:bCs w:val="false"/>
          <w:sz w:val="22"/>
          <w:szCs w:val="22"/>
        </w:rPr>
        <w:t xml:space="preserve">CPhT credential is valid for 2 years; 20 continuing education hours required for renewal</w:t>
      </w:r>
    </w:p>
    <w:p>
      <w:pPr>
        <w:spacing w:after="0" w:before="80"/>
      </w:pPr>
      <w:r>
        <w:t xml:space="preserve"/>
      </w:r>
    </w:p>
    <w:p>
      <w:pPr>
        <w:pStyle w:val="Heading2"/>
        <w:spacing w:after="80" w:before="240"/>
      </w:pPr>
      <w:r>
        <w:rPr>
          <w:rFonts w:ascii="Arial" w:cs="Arial" w:eastAsia="Arial" w:hAnsi="Arial"/>
          <w:b/>
          <w:bCs/>
          <w:color w:val="2E75B6"/>
          <w:sz w:val="24"/>
          <w:szCs w:val="24"/>
        </w:rPr>
        <w:t xml:space="preserve">State Board of Pharmacy Registration</w:t>
      </w:r>
    </w:p>
    <w:p>
      <w:pPr>
        <w:spacing w:after="60" w:before="60"/>
      </w:pPr>
      <w:r>
        <w:rPr>
          <w:rFonts w:ascii="Arial" w:cs="Arial" w:eastAsia="Arial" w:hAnsi="Arial"/>
          <w:sz w:val="22"/>
          <w:szCs w:val="22"/>
        </w:rPr>
        <w:t xml:space="preserve">Upon passing the PTCE, graduates must register with their state board of pharmacy to work legally as a pharmacy technician. Registration typically requires submission of the CPhT credential, a completed application, and the applicable fee. Allied Health Academy provides step-by-step guidance for completing state board registration.</w:t>
      </w:r>
    </w:p>
    <w:p>
      <w:pPr>
        <w:spacing w:after="0" w:before="80"/>
      </w:pPr>
      <w:r>
        <w:t xml:space="preserve"/>
      </w:r>
    </w:p>
    <w:p>
      <w:pPr>
        <w:pStyle w:val="Heading2"/>
        <w:spacing w:after="80" w:before="240"/>
      </w:pPr>
      <w:r>
        <w:rPr>
          <w:rFonts w:ascii="Arial" w:cs="Arial" w:eastAsia="Arial" w:hAnsi="Arial"/>
          <w:b/>
          <w:bCs/>
          <w:color w:val="2E75B6"/>
          <w:sz w:val="24"/>
          <w:szCs w:val="24"/>
        </w:rPr>
        <w:t xml:space="preserve">Externship and Employment Pathway</w:t>
      </w:r>
    </w:p>
    <w:p>
      <w:pPr>
        <w:spacing w:after="60" w:before="60"/>
      </w:pPr>
      <w:r>
        <w:rPr>
          <w:rFonts w:ascii="Arial" w:cs="Arial" w:eastAsia="Arial" w:hAnsi="Arial"/>
          <w:sz w:val="22"/>
          <w:szCs w:val="22"/>
        </w:rPr>
        <w:t xml:space="preserve">Program graduates have access to Allied Health Academy's exclusive externship network through affiliated partner pharmacy sites. Graduates who are matched with an externship site are considered priority hire candidates at that location. The Academy also facilitates connections with staffing agency partners and institutional pharmacy employers.</w:t>
      </w:r>
    </w:p>
    <w:p>
      <w:r>
        <w:br w:type="page"/>
      </w:r>
    </w:p>
    <w:p>
      <w:pPr>
        <w:pStyle w:val="Heading1"/>
        <w:pBdr>
          <w:bottom w:val="single" w:color="2E75B6" w:sz="6" w:space="4"/>
        </w:pBdr>
        <w:spacing w:after="120" w:before="360"/>
      </w:pPr>
      <w:r>
        <w:rPr>
          <w:rFonts w:ascii="Arial" w:cs="Arial" w:eastAsia="Arial" w:hAnsi="Arial"/>
          <w:b/>
          <w:bCs/>
          <w:color w:val="1F4E79"/>
          <w:sz w:val="28"/>
          <w:szCs w:val="28"/>
        </w:rPr>
        <w:t xml:space="preserve">Section 9: Program Contact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20"/>
        <w:gridCol w:w="6840"/>
      </w:tblGrid>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Program Name</w:t>
            </w:r>
          </w:p>
        </w:tc>
        <w:tc>
          <w:tcPr>
            <w:tcW w:type="dxa" w:w="68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Pharmacy Technician Certification Program</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Institution</w:t>
            </w:r>
          </w:p>
        </w:tc>
        <w:tc>
          <w:tcPr>
            <w:tcW w:type="dxa" w:w="68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Allied Health Academy</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Website</w:t>
            </w:r>
          </w:p>
        </w:tc>
        <w:tc>
          <w:tcPr>
            <w:tcW w:type="dxa" w:w="68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alliedhealthtraining.org</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Lead Educator</w:t>
            </w:r>
          </w:p>
        </w:tc>
        <w:tc>
          <w:tcPr>
            <w:tcW w:type="dxa" w:w="68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Tyler Dalton, PharmD</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Email</w:t>
            </w:r>
          </w:p>
        </w:tc>
        <w:tc>
          <w:tcPr>
            <w:tcW w:type="dxa" w:w="68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tdalton508@gmail.com</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PTCB Recognition</w:t>
            </w:r>
          </w:p>
        </w:tc>
        <w:tc>
          <w:tcPr>
            <w:tcW w:type="dxa" w:w="68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Active</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State Approval</w:t>
            </w:r>
          </w:p>
        </w:tc>
        <w:tc>
          <w:tcPr>
            <w:tcW w:type="dxa" w:w="68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Alabama State Approved</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WIOA / ETPL Status</w:t>
            </w:r>
          </w:p>
        </w:tc>
        <w:tc>
          <w:tcPr>
            <w:tcW w:type="dxa" w:w="68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Approved — Alabama ETPL</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CIP Code</w:t>
            </w:r>
          </w:p>
        </w:tc>
        <w:tc>
          <w:tcPr>
            <w:tcW w:type="dxa" w:w="68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51.0805</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SOC Code</w:t>
            </w:r>
          </w:p>
        </w:tc>
        <w:tc>
          <w:tcPr>
            <w:tcW w:type="dxa" w:w="68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sz w:val="20"/>
                <w:szCs w:val="20"/>
              </w:rPr>
              <w:t xml:space="preserve">29-2052</w:t>
            </w:r>
          </w:p>
        </w:tc>
      </w:tr>
      <w:tr>
        <w:tc>
          <w:tcPr>
            <w:tcW w:type="dxa" w:w="25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bCs/>
                <w:color w:val="1F4E79"/>
                <w:sz w:val="20"/>
                <w:szCs w:val="20"/>
              </w:rPr>
              <w:t xml:space="preserve">Document Revised</w:t>
            </w:r>
          </w:p>
        </w:tc>
        <w:tc>
          <w:tcPr>
            <w:tcW w:type="dxa" w:w="68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March 2026</w:t>
            </w:r>
          </w:p>
        </w:tc>
      </w:tr>
    </w:tbl>
    <w:p>
      <w:pPr>
        <w:spacing w:after="0" w:before="160"/>
      </w:pPr>
      <w:r>
        <w:t xml:space="preserve"/>
      </w:r>
    </w:p>
    <w:p>
      <w:pPr>
        <w:pBdr>
          <w:top w:val="single" w:color="2E75B6" w:sz="6" w:space="8"/>
          <w:bottom w:val="single" w:color="2E75B6" w:sz="6" w:space="8"/>
        </w:pBdr>
        <w:spacing w:after="0" w:before="0"/>
        <w:jc w:val="center"/>
      </w:pPr>
      <w:r>
        <w:rPr>
          <w:rFonts w:ascii="Arial" w:cs="Arial" w:eastAsia="Arial" w:hAnsi="Arial"/>
          <w:b/>
          <w:bCs/>
          <w:color w:val="1F4E79"/>
          <w:sz w:val="20"/>
          <w:szCs w:val="20"/>
        </w:rPr>
        <w:t xml:space="preserve">Allied Health Academy  |  Preparing the Next Generation of Pharmacy Professionals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75B6" w:sz="6" w:space="4"/>
      </w:pBdr>
      <w:tabs>
        <w:tab w:val="right" w:pos="9360"/>
      </w:tabs>
      <w:spacing w:after="0" w:before="80"/>
    </w:pPr>
    <w:r>
      <w:rPr>
        <w:rFonts w:ascii="Arial" w:cs="Arial" w:eastAsia="Arial" w:hAnsi="Arial"/>
        <w:color w:val="666666"/>
        <w:sz w:val="16"/>
        <w:szCs w:val="16"/>
      </w:rPr>
      <w:t xml:space="preserve">Allied Health Academy  |  alliedhealthtraining.org  |  PTCB-Recognized</w:t>
    </w:r>
    <w:r>
      <w:rPr>
        <w:rFonts w:ascii="Arial" w:cs="Arial" w:eastAsia="Arial" w:hAnsi="Arial"/>
        <w:color w:val="666666"/>
        <w:sz w:val="16"/>
        <w:szCs w:val="16"/>
      </w:rPr>
      <w:t xml:space="preserve">	Page </w:t>
    </w:r>
    <w:r>
      <w:rPr>
        <w:rFonts w:ascii="Arial" w:cs="Arial" w:eastAsia="Arial" w:hAnsi="Arial"/>
        <w:color w:val="666666"/>
        <w:sz w:val="16"/>
        <w:szCs w:val="16"/>
      </w:rPr>
      <w:fldChar w:fldCharType="begin"/>
      <w:instrText xml:space="preserve">PAGE</w:instrText>
      <w:fldChar w:fldCharType="separate"/>
      <w:fldChar w:fldCharType="end"/>
    </w:r>
    <w:r>
      <w:rPr>
        <w:rFonts w:ascii="Arial" w:cs="Arial" w:eastAsia="Arial" w:hAnsi="Arial"/>
        <w:color w:val="666666"/>
        <w:sz w:val="16"/>
        <w:szCs w:val="16"/>
      </w:rPr>
      <w:t xml:space="preserve"> of </w:t>
    </w:r>
    <w:r>
      <w:rPr>
        <w:rFonts w:ascii="Arial" w:cs="Arial" w:eastAsia="Arial" w:hAnsi="Arial"/>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6" w:space="4"/>
      </w:pBdr>
      <w:tabs>
        <w:tab w:val="right" w:pos="9360"/>
      </w:tabs>
      <w:spacing w:after="80" w:before="0"/>
    </w:pPr>
    <w:r>
      <w:rPr>
        <w:rFonts w:ascii="Arial" w:cs="Arial" w:eastAsia="Arial" w:hAnsi="Arial"/>
        <w:color w:val="1F4E79"/>
        <w:sz w:val="18"/>
        <w:szCs w:val="18"/>
      </w:rPr>
      <w:t xml:space="preserve">Allied Health Academy  |  Pharmacy Technician Certification Program</w:t>
    </w:r>
    <w:r>
      <w:rPr>
        <w:sz w:val="18"/>
        <w:szCs w:val="18"/>
      </w:rPr>
      <w:t xml:space="preserve">	</w:t>
    </w:r>
    <w:r>
      <w:rPr>
        <w:rFonts w:ascii="Arial" w:cs="Arial" w:eastAsia="Arial" w:hAnsi="Arial"/>
        <w:b/>
        <w:bCs/>
        <w:color w:val="2E75B6"/>
        <w:sz w:val="18"/>
        <w:szCs w:val="18"/>
      </w:rPr>
      <w:t xml:space="preserve">Curriculum Syllabus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60"/>
      <w:outlineLvl w:val="0"/>
    </w:pPr>
    <w:rPr>
      <w:rFonts w:ascii="Arial" w:cs="Arial" w:eastAsia="Arial" w:hAnsi="Arial"/>
      <w:b/>
      <w:bCs/>
      <w:color w:val="1F4E79"/>
      <w:sz w:val="28"/>
      <w:szCs w:val="28"/>
    </w:rPr>
  </w:style>
  <w:style w:type="paragraph" w:styleId="Heading2">
    <w:name w:val="Heading 2"/>
    <w:basedOn w:val="Normal"/>
    <w:next w:val="Normal"/>
    <w:qFormat/>
    <w:pPr>
      <w:spacing w:after="80" w:before="240"/>
      <w:outlineLvl w:val="1"/>
    </w:pPr>
    <w:rPr>
      <w:rFonts w:ascii="Arial" w:cs="Arial" w:eastAsia="Arial" w:hAnsi="Arial"/>
      <w:b/>
      <w:bCs/>
      <w:color w:val="2E75B6"/>
      <w:sz w:val="24"/>
      <w:szCs w:val="24"/>
    </w:rPr>
  </w:style>
  <w:style w:type="paragraph" w:styleId="Heading3">
    <w:name w:val="Heading 3"/>
    <w:basedOn w:val="Normal"/>
    <w:next w:val="Normal"/>
    <w:qFormat/>
    <w:pPr>
      <w:spacing w:after="60" w:before="160"/>
      <w:outlineLvl w:val="2"/>
    </w:pPr>
    <w:rPr>
      <w:rFonts w:ascii="Arial" w:cs="Arial" w:eastAsia="Arial" w:hAnsi="Arial"/>
      <w:b/>
      <w:bCs/>
      <w:color w:val="00000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2026-03-30T16:14:59.793Z</dcterms:created>
  <dcterms:modified xsi:type="dcterms:W3CDTF">2026-03-30T16:14:59.794Z</dcterms:modified>
</cp:coreProperties>
</file>

<file path=docProps/custom.xml><?xml version="1.0" encoding="utf-8"?>
<Properties xmlns="http://schemas.openxmlformats.org/officeDocument/2006/custom-properties" xmlns:vt="http://schemas.openxmlformats.org/officeDocument/2006/docPropsVTypes"/>
</file>